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1" w:lineRule="exact"/>
      </w:pPr>
      <w:bookmarkStart w:id="0" w:name="A4077B1411954AA08F418DC4532AB007"/>
      <w:bookmarkEnd w:id="0"/>
    </w:p>
    <w:tbl>
      <w:tblPr>
        <w:tblStyle w:val="2"/>
        <w:tblW w:w="15910" w:type="dxa"/>
        <w:tblInd w:w="0" w:type="dxa"/>
        <w:tblLayout w:type="fixed"/>
        <w:tblCellMar>
          <w:top w:w="0" w:type="dxa"/>
          <w:left w:w="0" w:type="dxa"/>
          <w:bottom w:w="0" w:type="dxa"/>
          <w:right w:w="0" w:type="dxa"/>
        </w:tblCellMar>
      </w:tblPr>
      <w:tblGrid>
        <w:gridCol w:w="944"/>
        <w:gridCol w:w="2268"/>
        <w:gridCol w:w="1587"/>
        <w:gridCol w:w="2381"/>
        <w:gridCol w:w="567"/>
        <w:gridCol w:w="1247"/>
        <w:gridCol w:w="567"/>
        <w:gridCol w:w="2154"/>
        <w:gridCol w:w="680"/>
        <w:gridCol w:w="907"/>
        <w:gridCol w:w="2608"/>
      </w:tblGrid>
      <w:tr>
        <w:trPr>
          <w:trHeight w:val="425" w:hRule="atLeast"/>
        </w:trPr>
        <w:tc>
          <w:tcPr>
            <w:tcW w:w="15910" w:type="dxa"/>
            <w:gridSpan w:val="11"/>
            <w:vAlign w:val="center"/>
          </w:tcPr>
          <w:p>
            <w:pPr>
              <w:spacing w:before="40" w:after="40"/>
              <w:ind w:left="40" w:right="40"/>
              <w:jc w:val="left"/>
              <w:rPr>
                <w:rFonts w:hint="eastAsia" w:ascii="黑体" w:hAnsi="黑体" w:eastAsia="黑体" w:cs="黑体"/>
                <w:b/>
                <w:color w:val="000000"/>
                <w:sz w:val="24"/>
              </w:rPr>
            </w:pPr>
            <w:r>
              <w:rPr>
                <w:rFonts w:hint="eastAsia" w:ascii="黑体" w:hAnsi="黑体" w:eastAsia="黑体" w:cs="黑体"/>
                <w:b/>
                <w:color w:val="000000"/>
                <w:sz w:val="24"/>
              </w:rPr>
              <w:t>附件3：</w:t>
            </w:r>
          </w:p>
        </w:tc>
      </w:tr>
      <w:tr>
        <w:tblPrEx>
          <w:tblCellMar>
            <w:top w:w="0" w:type="dxa"/>
            <w:left w:w="0" w:type="dxa"/>
            <w:bottom w:w="0" w:type="dxa"/>
            <w:right w:w="0" w:type="dxa"/>
          </w:tblCellMar>
        </w:tblPrEx>
        <w:trPr>
          <w:trHeight w:val="907" w:hRule="atLeast"/>
        </w:trPr>
        <w:tc>
          <w:tcPr>
            <w:tcW w:w="15910" w:type="dxa"/>
            <w:gridSpan w:val="11"/>
            <w:vAlign w:val="center"/>
          </w:tcPr>
          <w:p>
            <w:pPr>
              <w:spacing w:before="40" w:after="40"/>
              <w:ind w:left="40" w:right="40"/>
              <w:jc w:val="center"/>
              <w:rPr>
                <w:rFonts w:hint="eastAsia" w:ascii="黑体" w:hAnsi="黑体" w:eastAsia="黑体" w:cs="黑体"/>
                <w:b/>
                <w:color w:val="000000"/>
                <w:sz w:val="32"/>
              </w:rPr>
            </w:pPr>
            <w:r>
              <w:rPr>
                <w:rFonts w:hint="eastAsia" w:ascii="黑体" w:hAnsi="黑体" w:eastAsia="黑体" w:cs="黑体"/>
                <w:b/>
                <w:color w:val="000000"/>
                <w:sz w:val="32"/>
              </w:rPr>
              <w:t>部门预算项目支出绩效自评表（2023年度）</w:t>
            </w:r>
          </w:p>
        </w:tc>
      </w:tr>
      <w:tr>
        <w:tblPrEx>
          <w:tblCellMar>
            <w:top w:w="0" w:type="dxa"/>
            <w:left w:w="0" w:type="dxa"/>
            <w:bottom w:w="0" w:type="dxa"/>
            <w:right w:w="0" w:type="dxa"/>
          </w:tblCellMar>
        </w:tblPrEx>
        <w:trPr>
          <w:trHeight w:val="424" w:hRule="atLeast"/>
        </w:trPr>
        <w:tc>
          <w:tcPr>
            <w:tcW w:w="9561" w:type="dxa"/>
            <w:gridSpan w:val="7"/>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单位(盖章)：中共绵阳市委政法委员会</w:t>
            </w:r>
          </w:p>
        </w:tc>
        <w:tc>
          <w:tcPr>
            <w:tcW w:w="2154" w:type="dxa"/>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填报日期：</w:t>
            </w:r>
          </w:p>
        </w:tc>
        <w:tc>
          <w:tcPr>
            <w:tcW w:w="4195" w:type="dxa"/>
            <w:gridSpan w:val="3"/>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2024年6月3日</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项目名称</w:t>
            </w:r>
          </w:p>
        </w:tc>
        <w:tc>
          <w:tcPr>
            <w:tcW w:w="12698" w:type="dxa"/>
            <w:gridSpan w:val="9"/>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全市首席法律咨询专家工作专项经费</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主管部门及代码</w:t>
            </w:r>
          </w:p>
        </w:tc>
        <w:tc>
          <w:tcPr>
            <w:tcW w:w="6349"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302-中共绵阳市委政法委员会本级部门</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实施单位</w:t>
            </w:r>
          </w:p>
        </w:tc>
        <w:tc>
          <w:tcPr>
            <w:tcW w:w="4195"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中共绵阳市委政法委员会</w:t>
            </w:r>
          </w:p>
        </w:tc>
      </w:tr>
      <w:tr>
        <w:tblPrEx>
          <w:tblCellMar>
            <w:top w:w="0" w:type="dxa"/>
            <w:left w:w="0" w:type="dxa"/>
            <w:bottom w:w="0" w:type="dxa"/>
            <w:right w:w="0" w:type="dxa"/>
          </w:tblCellMar>
        </w:tblPrEx>
        <w:trPr>
          <w:trHeight w:val="453"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项目资金使用情况（10分）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资金来源</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全年预算数</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调整后预算数</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全年执行数</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自评得分</w:t>
            </w:r>
          </w:p>
        </w:tc>
        <w:tc>
          <w:tcPr>
            <w:tcW w:w="3515"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年度资金总额（万元）</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3515" w:type="dxa"/>
            <w:gridSpan w:val="2"/>
            <w:vMerge w:val="restart"/>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预算执行率较低原因：； 预算调整(调增/调减)原因：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其中：中央、省补助</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市级财政资金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县级财政资金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其他资金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年度总体目标</w:t>
            </w:r>
          </w:p>
        </w:tc>
        <w:tc>
          <w:tcPr>
            <w:tcW w:w="8617"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预期目标</w:t>
            </w:r>
          </w:p>
        </w:tc>
        <w:tc>
          <w:tcPr>
            <w:tcW w:w="6349" w:type="dxa"/>
            <w:gridSpan w:val="4"/>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实际完成情况</w:t>
            </w:r>
          </w:p>
        </w:tc>
      </w:tr>
      <w:tr>
        <w:tblPrEx>
          <w:tblCellMar>
            <w:top w:w="0" w:type="dxa"/>
            <w:left w:w="0" w:type="dxa"/>
            <w:bottom w:w="0" w:type="dxa"/>
            <w:right w:w="0" w:type="dxa"/>
          </w:tblCellMar>
        </w:tblPrEx>
        <w:trPr>
          <w:trHeight w:val="680"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8617" w:type="dxa"/>
            <w:gridSpan w:val="6"/>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发挥法学会在参与社会治理、化解矛盾纠纷、维护社会和谐稳定中的重要作用，围绕党委政府开展重大决策论证、重大风险防控、重大矛盾纠纷调处、重大信访积案化解等工作，为党委政府和相关部门提供法律咨询论证意见、处置建议、对策方案等。</w:t>
            </w:r>
          </w:p>
        </w:tc>
        <w:tc>
          <w:tcPr>
            <w:tcW w:w="6349" w:type="dxa"/>
            <w:gridSpan w:val="4"/>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发挥法学会在参与社会治理、化解矛盾纠纷、维护社会和谐稳定中的重要作用，围绕党委政府开展重大决策论证、重大风险防控、重大矛盾纠纷调处、重大信访积案化解等工作，为党委政府和相关部门提供法律咨询论证意见、处置建议、对策方案等。</w:t>
            </w: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决策与过程指标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（100分）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分值</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计算过程及得分依据</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（54分）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项目立项</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依据充分性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程序规范性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目标设置</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绩效目标完整性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绩效指标细化量化</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资金预算</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预算编制匹配</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资金分配合理性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过程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（46分）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项目管理制度健全性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项目质量可控性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资金使用合规性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财务监督检查</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451"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指标性质</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度量单位</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权重</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未完成原因分析</w:t>
            </w:r>
          </w:p>
        </w:tc>
      </w:tr>
      <w:tr>
        <w:tblPrEx>
          <w:tblCellMar>
            <w:top w:w="0" w:type="dxa"/>
            <w:left w:w="0" w:type="dxa"/>
            <w:bottom w:w="0" w:type="dxa"/>
            <w:right w:w="0" w:type="dxa"/>
          </w:tblCellMar>
        </w:tblPrEx>
        <w:trPr>
          <w:trHeight w:val="424"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绩效指标（90分）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产出指标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时效指标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深入贯彻落实全面依法治国战略部署，充分发挥法学会“智囊团”“思想库”“人才库”优势，自觉服务党委政府工作大局，全面推进首席法律咨询专家制度，为建设更高水平的平安绵阳、法治绵阳和加快建设中国科技城全力打造成渝副中心作出新贡献。</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月</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50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50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效益指标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社会效益指标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助推平安绵阳、法治绵阳建</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优</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优</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自评折算后总分(分值折算方式：“决策与过程指标”赋值100分按30%折算，“预算执行率和绩效指标”赋值100分按70%折算)：</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评价结论</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根据该项目决策及过程管理、预算执行率及绩效目标实现程度指标自评得分100.00分，自评等次为：优。为党委政府和相关部门提供法律咨询论证意见、处置建议、对策方案等。</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存在问题</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为党委政府和相关部门提供法律咨询论证意见、处置建议、对策方案等。</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改进措施</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为党委政府和相关部门提供法律咨询论证意见、处置建议、对策方案等。</w:t>
            </w:r>
          </w:p>
        </w:tc>
      </w:tr>
      <w:tr>
        <w:tblPrEx>
          <w:tblCellMar>
            <w:top w:w="0" w:type="dxa"/>
            <w:left w:w="0" w:type="dxa"/>
            <w:bottom w:w="0" w:type="dxa"/>
            <w:right w:w="0" w:type="dxa"/>
          </w:tblCellMar>
        </w:tblPrEx>
        <w:trPr>
          <w:trHeight w:val="425" w:hRule="atLeast"/>
        </w:trPr>
        <w:tc>
          <w:tcPr>
            <w:tcW w:w="7747"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项目负责人：赵姣</w:t>
            </w:r>
          </w:p>
        </w:tc>
        <w:tc>
          <w:tcPr>
            <w:tcW w:w="8163"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财务负责人：文灏源</w:t>
            </w:r>
          </w:p>
        </w:tc>
      </w:tr>
      <w:tr>
        <w:tblPrEx>
          <w:tblCellMar>
            <w:top w:w="0" w:type="dxa"/>
            <w:left w:w="0" w:type="dxa"/>
            <w:bottom w:w="0" w:type="dxa"/>
            <w:right w:w="0" w:type="dxa"/>
          </w:tblCellMar>
        </w:tblPrEx>
        <w:trPr>
          <w:trHeight w:val="425" w:hRule="atLeast"/>
        </w:trPr>
        <w:tc>
          <w:tcPr>
            <w:tcW w:w="944" w:type="dxa"/>
            <w:vAlign w:val="top"/>
          </w:tcPr>
          <w:p>
            <w:pPr>
              <w:spacing w:before="40" w:after="40"/>
              <w:ind w:left="40" w:right="40"/>
              <w:jc w:val="left"/>
              <w:rPr>
                <w:rFonts w:hint="eastAsia" w:ascii="Arial" w:hAnsi="Arial" w:eastAsia="Arial" w:cs="Arial"/>
                <w:color w:val="000000"/>
                <w:sz w:val="18"/>
              </w:rPr>
            </w:pPr>
          </w:p>
        </w:tc>
        <w:tc>
          <w:tcPr>
            <w:tcW w:w="2268" w:type="dxa"/>
            <w:vAlign w:val="top"/>
          </w:tcPr>
          <w:p>
            <w:pPr>
              <w:spacing w:before="40" w:after="40"/>
              <w:ind w:left="40" w:right="40"/>
              <w:jc w:val="left"/>
              <w:rPr>
                <w:rFonts w:hint="eastAsia" w:ascii="Arial" w:hAnsi="Arial" w:eastAsia="Arial" w:cs="Arial"/>
                <w:color w:val="000000"/>
                <w:sz w:val="18"/>
              </w:rPr>
            </w:pPr>
          </w:p>
        </w:tc>
        <w:tc>
          <w:tcPr>
            <w:tcW w:w="1587" w:type="dxa"/>
            <w:vAlign w:val="top"/>
          </w:tcPr>
          <w:p>
            <w:pPr>
              <w:spacing w:before="40" w:after="40"/>
              <w:ind w:left="40" w:right="40"/>
              <w:jc w:val="left"/>
              <w:rPr>
                <w:rFonts w:hint="eastAsia" w:ascii="Arial" w:hAnsi="Arial" w:eastAsia="Arial" w:cs="Arial"/>
                <w:color w:val="000000"/>
                <w:sz w:val="18"/>
              </w:rPr>
            </w:pPr>
          </w:p>
        </w:tc>
        <w:tc>
          <w:tcPr>
            <w:tcW w:w="2381"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1247"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2154" w:type="dxa"/>
            <w:vAlign w:val="top"/>
          </w:tcPr>
          <w:p>
            <w:pPr>
              <w:spacing w:before="40" w:after="40"/>
              <w:ind w:left="40" w:right="40"/>
              <w:jc w:val="left"/>
              <w:rPr>
                <w:rFonts w:hint="eastAsia" w:ascii="Arial" w:hAnsi="Arial" w:eastAsia="Arial" w:cs="Arial"/>
                <w:color w:val="000000"/>
                <w:sz w:val="18"/>
              </w:rPr>
            </w:pPr>
          </w:p>
        </w:tc>
        <w:tc>
          <w:tcPr>
            <w:tcW w:w="680" w:type="dxa"/>
            <w:vAlign w:val="top"/>
          </w:tcPr>
          <w:p>
            <w:pPr>
              <w:spacing w:before="40" w:after="40"/>
              <w:ind w:left="40" w:right="40"/>
              <w:jc w:val="left"/>
              <w:rPr>
                <w:rFonts w:hint="eastAsia" w:ascii="Arial" w:hAnsi="Arial" w:eastAsia="Arial" w:cs="Arial"/>
                <w:color w:val="000000"/>
                <w:sz w:val="18"/>
              </w:rPr>
            </w:pPr>
          </w:p>
        </w:tc>
        <w:tc>
          <w:tcPr>
            <w:tcW w:w="907" w:type="dxa"/>
            <w:vAlign w:val="top"/>
          </w:tcPr>
          <w:p>
            <w:pPr>
              <w:spacing w:before="40" w:after="40"/>
              <w:ind w:left="40" w:right="40"/>
              <w:jc w:val="left"/>
              <w:rPr>
                <w:rFonts w:hint="eastAsia" w:ascii="Arial" w:hAnsi="Arial" w:eastAsia="Arial" w:cs="Arial"/>
                <w:color w:val="000000"/>
                <w:sz w:val="18"/>
              </w:rPr>
            </w:pPr>
          </w:p>
        </w:tc>
        <w:tc>
          <w:tcPr>
            <w:tcW w:w="2608" w:type="dxa"/>
            <w:vAlign w:val="top"/>
          </w:tcPr>
          <w:p>
            <w:pPr>
              <w:spacing w:before="40" w:after="40"/>
              <w:ind w:left="40" w:right="40"/>
              <w:jc w:val="left"/>
              <w:rPr>
                <w:rFonts w:hint="eastAsia" w:ascii="Arial" w:hAnsi="Arial" w:eastAsia="Arial" w:cs="Arial"/>
                <w:color w:val="000000"/>
                <w:sz w:val="18"/>
              </w:rPr>
            </w:pPr>
          </w:p>
        </w:tc>
      </w:tr>
      <w:tr>
        <w:tblPrEx>
          <w:tblCellMar>
            <w:top w:w="0" w:type="dxa"/>
            <w:left w:w="0" w:type="dxa"/>
            <w:bottom w:w="0" w:type="dxa"/>
            <w:right w:w="0" w:type="dxa"/>
          </w:tblCellMar>
        </w:tblPrEx>
        <w:trPr>
          <w:trHeight w:val="907" w:hRule="atLeast"/>
        </w:trPr>
        <w:tc>
          <w:tcPr>
            <w:tcW w:w="15910" w:type="dxa"/>
            <w:gridSpan w:val="11"/>
            <w:vAlign w:val="center"/>
          </w:tcPr>
          <w:p>
            <w:pPr>
              <w:spacing w:before="40" w:after="40"/>
              <w:ind w:left="40" w:right="40"/>
              <w:jc w:val="center"/>
              <w:rPr>
                <w:rFonts w:hint="eastAsia" w:ascii="黑体" w:hAnsi="黑体" w:eastAsia="黑体" w:cs="黑体"/>
                <w:b/>
                <w:color w:val="000000"/>
                <w:sz w:val="32"/>
              </w:rPr>
            </w:pPr>
            <w:r>
              <w:rPr>
                <w:rFonts w:hint="eastAsia" w:ascii="黑体" w:hAnsi="黑体" w:eastAsia="黑体" w:cs="黑体"/>
                <w:b/>
                <w:color w:val="000000"/>
                <w:sz w:val="32"/>
              </w:rPr>
              <w:t>部门预算项目支出绩效自评表（2023年度）</w:t>
            </w:r>
          </w:p>
        </w:tc>
      </w:tr>
      <w:tr>
        <w:tblPrEx>
          <w:tblCellMar>
            <w:top w:w="0" w:type="dxa"/>
            <w:left w:w="0" w:type="dxa"/>
            <w:bottom w:w="0" w:type="dxa"/>
            <w:right w:w="0" w:type="dxa"/>
          </w:tblCellMar>
        </w:tblPrEx>
        <w:trPr>
          <w:trHeight w:val="424" w:hRule="atLeast"/>
        </w:trPr>
        <w:tc>
          <w:tcPr>
            <w:tcW w:w="9561" w:type="dxa"/>
            <w:gridSpan w:val="7"/>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单位(盖章)：中共绵阳市委政法委员会</w:t>
            </w:r>
          </w:p>
        </w:tc>
        <w:tc>
          <w:tcPr>
            <w:tcW w:w="2154" w:type="dxa"/>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填报日期：</w:t>
            </w:r>
          </w:p>
        </w:tc>
        <w:tc>
          <w:tcPr>
            <w:tcW w:w="4195" w:type="dxa"/>
            <w:gridSpan w:val="3"/>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2024年5月31日</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项目名称</w:t>
            </w:r>
          </w:p>
        </w:tc>
        <w:tc>
          <w:tcPr>
            <w:tcW w:w="12698" w:type="dxa"/>
            <w:gridSpan w:val="9"/>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市域社会治理专项经费</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主管部门及代码</w:t>
            </w:r>
          </w:p>
        </w:tc>
        <w:tc>
          <w:tcPr>
            <w:tcW w:w="6349"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302-中共绵阳市委政法委员会本级部门</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实施单位</w:t>
            </w:r>
          </w:p>
        </w:tc>
        <w:tc>
          <w:tcPr>
            <w:tcW w:w="4195"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中共绵阳市委政法委员会</w:t>
            </w:r>
          </w:p>
        </w:tc>
      </w:tr>
      <w:tr>
        <w:tblPrEx>
          <w:tblCellMar>
            <w:top w:w="0" w:type="dxa"/>
            <w:left w:w="0" w:type="dxa"/>
            <w:bottom w:w="0" w:type="dxa"/>
            <w:right w:w="0" w:type="dxa"/>
          </w:tblCellMar>
        </w:tblPrEx>
        <w:trPr>
          <w:trHeight w:val="453"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项目资金使用情况（10分）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资金来源</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全年预算数</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调整后预算数</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全年执行数</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自评得分</w:t>
            </w:r>
          </w:p>
        </w:tc>
        <w:tc>
          <w:tcPr>
            <w:tcW w:w="3515"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年度资金总额（万元）</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3515" w:type="dxa"/>
            <w:gridSpan w:val="2"/>
            <w:vMerge w:val="restart"/>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预算执行率较低原因：； 预算调整(调增/调减)原因：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其中：中央、省补助</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市级财政资金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县级财政资金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其他资金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年度总体目标</w:t>
            </w:r>
          </w:p>
        </w:tc>
        <w:tc>
          <w:tcPr>
            <w:tcW w:w="8617"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预期目标</w:t>
            </w:r>
          </w:p>
        </w:tc>
        <w:tc>
          <w:tcPr>
            <w:tcW w:w="6349" w:type="dxa"/>
            <w:gridSpan w:val="4"/>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实际完成情况</w:t>
            </w:r>
          </w:p>
        </w:tc>
      </w:tr>
      <w:tr>
        <w:tblPrEx>
          <w:tblCellMar>
            <w:top w:w="0" w:type="dxa"/>
            <w:left w:w="0" w:type="dxa"/>
            <w:bottom w:w="0" w:type="dxa"/>
            <w:right w:w="0" w:type="dxa"/>
          </w:tblCellMar>
        </w:tblPrEx>
        <w:trPr>
          <w:trHeight w:val="680"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8617" w:type="dxa"/>
            <w:gridSpan w:val="6"/>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推进市域社会治理现代化是推进国家治理现代化的切入点和突破口，事关人民安居乐业、事关社会安定有序、事关国家长治久安。</w:t>
            </w:r>
          </w:p>
        </w:tc>
        <w:tc>
          <w:tcPr>
            <w:tcW w:w="6349" w:type="dxa"/>
            <w:gridSpan w:val="4"/>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推进市域社会治理现代化是推进国家治理现代化的切入点和突破口，事关人民安居乐业、事关社会安定有序、事关国家长治久安。</w:t>
            </w: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决策与过程指标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（100分）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分值</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计算过程及得分依据</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（54分）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项目立项</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依据充分性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程序规范性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目标设置</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绩效目标完整性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绩效指标细化量化</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资金预算</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预算编制匹配</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资金分配合理性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过程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（46分）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项目管理制度健全性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r>
      <w:tr>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项目质量可控性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资金使用合规性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财务监督检查</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451"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指标性质</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度量单位</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权重</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未完成原因分析</w:t>
            </w:r>
          </w:p>
        </w:tc>
      </w:tr>
      <w:tr>
        <w:tblPrEx>
          <w:tblCellMar>
            <w:top w:w="0" w:type="dxa"/>
            <w:left w:w="0" w:type="dxa"/>
            <w:bottom w:w="0" w:type="dxa"/>
            <w:right w:w="0" w:type="dxa"/>
          </w:tblCellMar>
        </w:tblPrEx>
        <w:trPr>
          <w:trHeight w:val="424"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绩效指标（90分）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产出指标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时效指标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2023年12月31日前</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40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40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成本指标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经济成本指标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平安绵阳建设暨市域社会治理现代化研究中心运营经费、点位打造</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300000</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元</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效益指标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社会效益指标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助推全国首批市域社会治理现代化试点城市创建</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自评折算后总分(分值折算方式：“决策与过程指标”赋值100分按30%折算，“预算执行率和绩效指标”赋值100分按70%折算)：</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评价结论</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根据该项目决策及过程管理、预算执行率及绩效目标实现程度指标自评得分100.00分，自评等次为：优。推进市域社会治理现代化是推进国家治理现代化的切入点和突破口，事关人民安居乐业、事关社会安定有序、事关国家长治久安。</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存在问题</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改进措施</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425" w:hRule="atLeast"/>
        </w:trPr>
        <w:tc>
          <w:tcPr>
            <w:tcW w:w="7747"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项目负责人：陈全</w:t>
            </w:r>
          </w:p>
        </w:tc>
        <w:tc>
          <w:tcPr>
            <w:tcW w:w="8163"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财务负责人：文颢源</w:t>
            </w:r>
          </w:p>
        </w:tc>
      </w:tr>
      <w:tr>
        <w:tblPrEx>
          <w:tblCellMar>
            <w:top w:w="0" w:type="dxa"/>
            <w:left w:w="0" w:type="dxa"/>
            <w:bottom w:w="0" w:type="dxa"/>
            <w:right w:w="0" w:type="dxa"/>
          </w:tblCellMar>
        </w:tblPrEx>
        <w:trPr>
          <w:trHeight w:val="425" w:hRule="atLeast"/>
        </w:trPr>
        <w:tc>
          <w:tcPr>
            <w:tcW w:w="944" w:type="dxa"/>
            <w:vAlign w:val="top"/>
          </w:tcPr>
          <w:p>
            <w:pPr>
              <w:spacing w:before="40" w:after="40"/>
              <w:ind w:left="40" w:right="40"/>
              <w:jc w:val="left"/>
              <w:rPr>
                <w:rFonts w:hint="eastAsia" w:ascii="Arial" w:hAnsi="Arial" w:eastAsia="Arial" w:cs="Arial"/>
                <w:color w:val="000000"/>
                <w:sz w:val="18"/>
              </w:rPr>
            </w:pPr>
          </w:p>
        </w:tc>
        <w:tc>
          <w:tcPr>
            <w:tcW w:w="2268" w:type="dxa"/>
            <w:vAlign w:val="top"/>
          </w:tcPr>
          <w:p>
            <w:pPr>
              <w:spacing w:before="40" w:after="40"/>
              <w:ind w:left="40" w:right="40"/>
              <w:jc w:val="left"/>
              <w:rPr>
                <w:rFonts w:hint="eastAsia" w:ascii="Arial" w:hAnsi="Arial" w:eastAsia="Arial" w:cs="Arial"/>
                <w:color w:val="000000"/>
                <w:sz w:val="18"/>
              </w:rPr>
            </w:pPr>
          </w:p>
        </w:tc>
        <w:tc>
          <w:tcPr>
            <w:tcW w:w="1587" w:type="dxa"/>
            <w:vAlign w:val="top"/>
          </w:tcPr>
          <w:p>
            <w:pPr>
              <w:spacing w:before="40" w:after="40"/>
              <w:ind w:left="40" w:right="40"/>
              <w:jc w:val="left"/>
              <w:rPr>
                <w:rFonts w:hint="eastAsia" w:ascii="Arial" w:hAnsi="Arial" w:eastAsia="Arial" w:cs="Arial"/>
                <w:color w:val="000000"/>
                <w:sz w:val="18"/>
              </w:rPr>
            </w:pPr>
          </w:p>
        </w:tc>
        <w:tc>
          <w:tcPr>
            <w:tcW w:w="2381"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1247"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2154" w:type="dxa"/>
            <w:vAlign w:val="top"/>
          </w:tcPr>
          <w:p>
            <w:pPr>
              <w:spacing w:before="40" w:after="40"/>
              <w:ind w:left="40" w:right="40"/>
              <w:jc w:val="left"/>
              <w:rPr>
                <w:rFonts w:hint="eastAsia" w:ascii="Arial" w:hAnsi="Arial" w:eastAsia="Arial" w:cs="Arial"/>
                <w:color w:val="000000"/>
                <w:sz w:val="18"/>
              </w:rPr>
            </w:pPr>
          </w:p>
        </w:tc>
        <w:tc>
          <w:tcPr>
            <w:tcW w:w="680" w:type="dxa"/>
            <w:vAlign w:val="top"/>
          </w:tcPr>
          <w:p>
            <w:pPr>
              <w:spacing w:before="40" w:after="40"/>
              <w:ind w:left="40" w:right="40"/>
              <w:jc w:val="left"/>
              <w:rPr>
                <w:rFonts w:hint="eastAsia" w:ascii="Arial" w:hAnsi="Arial" w:eastAsia="Arial" w:cs="Arial"/>
                <w:color w:val="000000"/>
                <w:sz w:val="18"/>
              </w:rPr>
            </w:pPr>
          </w:p>
        </w:tc>
        <w:tc>
          <w:tcPr>
            <w:tcW w:w="907" w:type="dxa"/>
            <w:vAlign w:val="top"/>
          </w:tcPr>
          <w:p>
            <w:pPr>
              <w:spacing w:before="40" w:after="40"/>
              <w:ind w:left="40" w:right="40"/>
              <w:jc w:val="left"/>
              <w:rPr>
                <w:rFonts w:hint="eastAsia" w:ascii="Arial" w:hAnsi="Arial" w:eastAsia="Arial" w:cs="Arial"/>
                <w:color w:val="000000"/>
                <w:sz w:val="18"/>
              </w:rPr>
            </w:pPr>
          </w:p>
        </w:tc>
        <w:tc>
          <w:tcPr>
            <w:tcW w:w="2608" w:type="dxa"/>
            <w:vAlign w:val="top"/>
          </w:tcPr>
          <w:p>
            <w:pPr>
              <w:spacing w:before="40" w:after="40"/>
              <w:ind w:left="40" w:right="40"/>
              <w:jc w:val="left"/>
              <w:rPr>
                <w:rFonts w:hint="eastAsia" w:ascii="Arial" w:hAnsi="Arial" w:eastAsia="Arial" w:cs="Arial"/>
                <w:color w:val="000000"/>
                <w:sz w:val="18"/>
              </w:rPr>
            </w:pPr>
          </w:p>
        </w:tc>
      </w:tr>
      <w:tr>
        <w:tblPrEx>
          <w:tblCellMar>
            <w:top w:w="0" w:type="dxa"/>
            <w:left w:w="0" w:type="dxa"/>
            <w:bottom w:w="0" w:type="dxa"/>
            <w:right w:w="0" w:type="dxa"/>
          </w:tblCellMar>
        </w:tblPrEx>
        <w:trPr>
          <w:trHeight w:val="907" w:hRule="atLeast"/>
        </w:trPr>
        <w:tc>
          <w:tcPr>
            <w:tcW w:w="15910" w:type="dxa"/>
            <w:gridSpan w:val="11"/>
            <w:vAlign w:val="center"/>
          </w:tcPr>
          <w:p>
            <w:pPr>
              <w:spacing w:before="40" w:after="40"/>
              <w:ind w:left="40" w:right="40"/>
              <w:jc w:val="center"/>
              <w:rPr>
                <w:rFonts w:hint="eastAsia" w:ascii="黑体" w:hAnsi="黑体" w:eastAsia="黑体" w:cs="黑体"/>
                <w:b/>
                <w:color w:val="000000"/>
                <w:sz w:val="32"/>
              </w:rPr>
            </w:pPr>
            <w:r>
              <w:rPr>
                <w:rFonts w:hint="eastAsia" w:ascii="黑体" w:hAnsi="黑体" w:eastAsia="黑体" w:cs="黑体"/>
                <w:b/>
                <w:color w:val="000000"/>
                <w:sz w:val="32"/>
              </w:rPr>
              <w:t>部门预算项目支出绩效自评表（2023年度）</w:t>
            </w:r>
          </w:p>
        </w:tc>
      </w:tr>
      <w:tr>
        <w:tblPrEx>
          <w:tblCellMar>
            <w:top w:w="0" w:type="dxa"/>
            <w:left w:w="0" w:type="dxa"/>
            <w:bottom w:w="0" w:type="dxa"/>
            <w:right w:w="0" w:type="dxa"/>
          </w:tblCellMar>
        </w:tblPrEx>
        <w:trPr>
          <w:trHeight w:val="424" w:hRule="atLeast"/>
        </w:trPr>
        <w:tc>
          <w:tcPr>
            <w:tcW w:w="9561" w:type="dxa"/>
            <w:gridSpan w:val="7"/>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单位(盖章)：中共绵阳市委政法委员会</w:t>
            </w:r>
          </w:p>
        </w:tc>
        <w:tc>
          <w:tcPr>
            <w:tcW w:w="2154" w:type="dxa"/>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填报日期：</w:t>
            </w:r>
          </w:p>
        </w:tc>
        <w:tc>
          <w:tcPr>
            <w:tcW w:w="4195" w:type="dxa"/>
            <w:gridSpan w:val="3"/>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2024年5月31日</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项目名称</w:t>
            </w:r>
          </w:p>
        </w:tc>
        <w:tc>
          <w:tcPr>
            <w:tcW w:w="12698" w:type="dxa"/>
            <w:gridSpan w:val="9"/>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年度正常增人增资</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主管部门及代码</w:t>
            </w:r>
          </w:p>
        </w:tc>
        <w:tc>
          <w:tcPr>
            <w:tcW w:w="6349"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302-中共绵阳市委政法委员会本级部门</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实施单位</w:t>
            </w:r>
          </w:p>
        </w:tc>
        <w:tc>
          <w:tcPr>
            <w:tcW w:w="4195"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中共绵阳市委政法委员会</w:t>
            </w:r>
          </w:p>
        </w:tc>
      </w:tr>
      <w:tr>
        <w:tblPrEx>
          <w:tblCellMar>
            <w:top w:w="0" w:type="dxa"/>
            <w:left w:w="0" w:type="dxa"/>
            <w:bottom w:w="0" w:type="dxa"/>
            <w:right w:w="0" w:type="dxa"/>
          </w:tblCellMar>
        </w:tblPrEx>
        <w:trPr>
          <w:trHeight w:val="453"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项目资金使用情况（10分）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资金来源</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全年预算数</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调整后预算数</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全年执行数</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自评得分</w:t>
            </w:r>
          </w:p>
        </w:tc>
        <w:tc>
          <w:tcPr>
            <w:tcW w:w="3515"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年度资金总额（万元）</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85.49</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85.49</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3515" w:type="dxa"/>
            <w:gridSpan w:val="2"/>
            <w:vMerge w:val="restart"/>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预算执行率较低原因：； 预算调整(调增/调减)原因：年度正常增人增资</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其中：中央、省补助</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市级财政资金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85.49</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85.49</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县级财政资金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其他资金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年度总体目标</w:t>
            </w:r>
          </w:p>
        </w:tc>
        <w:tc>
          <w:tcPr>
            <w:tcW w:w="8617"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预期目标</w:t>
            </w:r>
          </w:p>
        </w:tc>
        <w:tc>
          <w:tcPr>
            <w:tcW w:w="6349" w:type="dxa"/>
            <w:gridSpan w:val="4"/>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实际完成情况</w:t>
            </w:r>
          </w:p>
        </w:tc>
      </w:tr>
      <w:tr>
        <w:tblPrEx>
          <w:tblCellMar>
            <w:top w:w="0" w:type="dxa"/>
            <w:left w:w="0" w:type="dxa"/>
            <w:bottom w:w="0" w:type="dxa"/>
            <w:right w:w="0" w:type="dxa"/>
          </w:tblCellMar>
        </w:tblPrEx>
        <w:trPr>
          <w:trHeight w:val="680"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8617" w:type="dxa"/>
            <w:gridSpan w:val="6"/>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年度正常增人增资</w:t>
            </w:r>
          </w:p>
        </w:tc>
        <w:tc>
          <w:tcPr>
            <w:tcW w:w="6349" w:type="dxa"/>
            <w:gridSpan w:val="4"/>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年度正常增人增资</w:t>
            </w: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决策与过程指标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（100分）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分值</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计算过程及得分依据</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（54分）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项目立项</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依据充分性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程序规范性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目标设置</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绩效目标完整性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绩效指标细化量化</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资金预算</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预算编制匹配</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资金分配合理性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过程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（46分）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项目管理制度健全性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项目质量可控性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资金使用合规性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财务监督检查</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451"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指标性质</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度量单位</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权重</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未完成原因分析</w:t>
            </w:r>
          </w:p>
        </w:tc>
      </w:tr>
      <w:tr>
        <w:tblPrEx>
          <w:tblCellMar>
            <w:top w:w="0" w:type="dxa"/>
            <w:left w:w="0" w:type="dxa"/>
            <w:bottom w:w="0" w:type="dxa"/>
            <w:right w:w="0" w:type="dxa"/>
          </w:tblCellMar>
        </w:tblPrEx>
        <w:trPr>
          <w:trHeight w:val="424"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绩效指标（90分）</w:t>
            </w: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产出指标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数量指标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年度正常增人增资</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85.49</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万元</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时效指标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12月31日</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效益指标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社会效益指标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年度正常增人增资</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服务对象满意度指标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年度正常增人增资</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自评折算后总分(分值折算方式：“决策与过程指标”赋值100分按30%折算，“预算执行率和绩效指标”赋值100分按70%折算)：</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评价结论</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根据该项目决策及过程管理、预算执行率及绩效目标实现程度指标自评得分100.00分，自评等次为：优。年度赠人增资</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存在问题</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改进措施</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425" w:hRule="atLeast"/>
        </w:trPr>
        <w:tc>
          <w:tcPr>
            <w:tcW w:w="7747"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项目负责人：赵显福</w:t>
            </w:r>
          </w:p>
        </w:tc>
        <w:tc>
          <w:tcPr>
            <w:tcW w:w="8163"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财务负责人：文颢源</w:t>
            </w:r>
          </w:p>
        </w:tc>
      </w:tr>
      <w:tr>
        <w:tblPrEx>
          <w:tblCellMar>
            <w:top w:w="0" w:type="dxa"/>
            <w:left w:w="0" w:type="dxa"/>
            <w:bottom w:w="0" w:type="dxa"/>
            <w:right w:w="0" w:type="dxa"/>
          </w:tblCellMar>
        </w:tblPrEx>
        <w:trPr>
          <w:trHeight w:val="425" w:hRule="atLeast"/>
        </w:trPr>
        <w:tc>
          <w:tcPr>
            <w:tcW w:w="944" w:type="dxa"/>
            <w:vAlign w:val="top"/>
          </w:tcPr>
          <w:p>
            <w:pPr>
              <w:spacing w:before="40" w:after="40"/>
              <w:ind w:left="40" w:right="40"/>
              <w:jc w:val="left"/>
              <w:rPr>
                <w:rFonts w:hint="eastAsia" w:ascii="Arial" w:hAnsi="Arial" w:eastAsia="Arial" w:cs="Arial"/>
                <w:color w:val="000000"/>
                <w:sz w:val="18"/>
              </w:rPr>
            </w:pPr>
          </w:p>
        </w:tc>
        <w:tc>
          <w:tcPr>
            <w:tcW w:w="2268" w:type="dxa"/>
            <w:vAlign w:val="top"/>
          </w:tcPr>
          <w:p>
            <w:pPr>
              <w:spacing w:before="40" w:after="40"/>
              <w:ind w:left="40" w:right="40"/>
              <w:jc w:val="left"/>
              <w:rPr>
                <w:rFonts w:hint="eastAsia" w:ascii="Arial" w:hAnsi="Arial" w:eastAsia="Arial" w:cs="Arial"/>
                <w:color w:val="000000"/>
                <w:sz w:val="18"/>
              </w:rPr>
            </w:pPr>
          </w:p>
        </w:tc>
        <w:tc>
          <w:tcPr>
            <w:tcW w:w="1587" w:type="dxa"/>
            <w:vAlign w:val="top"/>
          </w:tcPr>
          <w:p>
            <w:pPr>
              <w:spacing w:before="40" w:after="40"/>
              <w:ind w:left="40" w:right="40"/>
              <w:jc w:val="left"/>
              <w:rPr>
                <w:rFonts w:hint="eastAsia" w:ascii="Arial" w:hAnsi="Arial" w:eastAsia="Arial" w:cs="Arial"/>
                <w:color w:val="000000"/>
                <w:sz w:val="18"/>
              </w:rPr>
            </w:pPr>
          </w:p>
        </w:tc>
        <w:tc>
          <w:tcPr>
            <w:tcW w:w="2381"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1247"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2154" w:type="dxa"/>
            <w:vAlign w:val="top"/>
          </w:tcPr>
          <w:p>
            <w:pPr>
              <w:spacing w:before="40" w:after="40"/>
              <w:ind w:left="40" w:right="40"/>
              <w:jc w:val="left"/>
              <w:rPr>
                <w:rFonts w:hint="eastAsia" w:ascii="Arial" w:hAnsi="Arial" w:eastAsia="Arial" w:cs="Arial"/>
                <w:color w:val="000000"/>
                <w:sz w:val="18"/>
              </w:rPr>
            </w:pPr>
          </w:p>
        </w:tc>
        <w:tc>
          <w:tcPr>
            <w:tcW w:w="680" w:type="dxa"/>
            <w:vAlign w:val="top"/>
          </w:tcPr>
          <w:p>
            <w:pPr>
              <w:spacing w:before="40" w:after="40"/>
              <w:ind w:left="40" w:right="40"/>
              <w:jc w:val="left"/>
              <w:rPr>
                <w:rFonts w:hint="eastAsia" w:ascii="Arial" w:hAnsi="Arial" w:eastAsia="Arial" w:cs="Arial"/>
                <w:color w:val="000000"/>
                <w:sz w:val="18"/>
              </w:rPr>
            </w:pPr>
          </w:p>
        </w:tc>
        <w:tc>
          <w:tcPr>
            <w:tcW w:w="907" w:type="dxa"/>
            <w:vAlign w:val="top"/>
          </w:tcPr>
          <w:p>
            <w:pPr>
              <w:spacing w:before="40" w:after="40"/>
              <w:ind w:left="40" w:right="40"/>
              <w:jc w:val="left"/>
              <w:rPr>
                <w:rFonts w:hint="eastAsia" w:ascii="Arial" w:hAnsi="Arial" w:eastAsia="Arial" w:cs="Arial"/>
                <w:color w:val="000000"/>
                <w:sz w:val="18"/>
              </w:rPr>
            </w:pPr>
          </w:p>
        </w:tc>
        <w:tc>
          <w:tcPr>
            <w:tcW w:w="2608" w:type="dxa"/>
            <w:vAlign w:val="top"/>
          </w:tcPr>
          <w:p>
            <w:pPr>
              <w:spacing w:before="40" w:after="40"/>
              <w:ind w:left="40" w:right="40"/>
              <w:jc w:val="left"/>
              <w:rPr>
                <w:rFonts w:hint="eastAsia" w:ascii="Arial" w:hAnsi="Arial" w:eastAsia="Arial" w:cs="Arial"/>
                <w:color w:val="000000"/>
                <w:sz w:val="18"/>
              </w:rPr>
            </w:pPr>
          </w:p>
        </w:tc>
      </w:tr>
      <w:tr>
        <w:tblPrEx>
          <w:tblCellMar>
            <w:top w:w="0" w:type="dxa"/>
            <w:left w:w="0" w:type="dxa"/>
            <w:bottom w:w="0" w:type="dxa"/>
            <w:right w:w="0" w:type="dxa"/>
          </w:tblCellMar>
        </w:tblPrEx>
        <w:trPr>
          <w:trHeight w:val="425" w:hRule="atLeast"/>
        </w:trPr>
        <w:tc>
          <w:tcPr>
            <w:tcW w:w="944" w:type="dxa"/>
            <w:vAlign w:val="top"/>
          </w:tcPr>
          <w:p>
            <w:pPr>
              <w:spacing w:before="40" w:after="40"/>
              <w:ind w:left="40" w:right="40"/>
              <w:jc w:val="left"/>
              <w:rPr>
                <w:rFonts w:hint="eastAsia" w:ascii="Arial" w:hAnsi="Arial" w:eastAsia="Arial" w:cs="Arial"/>
                <w:color w:val="000000"/>
                <w:sz w:val="18"/>
              </w:rPr>
            </w:pPr>
          </w:p>
        </w:tc>
        <w:tc>
          <w:tcPr>
            <w:tcW w:w="2268" w:type="dxa"/>
            <w:vAlign w:val="top"/>
          </w:tcPr>
          <w:p>
            <w:pPr>
              <w:spacing w:before="40" w:after="40"/>
              <w:ind w:left="40" w:right="40"/>
              <w:jc w:val="left"/>
              <w:rPr>
                <w:rFonts w:hint="eastAsia" w:ascii="Arial" w:hAnsi="Arial" w:eastAsia="Arial" w:cs="Arial"/>
                <w:color w:val="000000"/>
                <w:sz w:val="18"/>
              </w:rPr>
            </w:pPr>
          </w:p>
        </w:tc>
        <w:tc>
          <w:tcPr>
            <w:tcW w:w="1587" w:type="dxa"/>
            <w:vAlign w:val="top"/>
          </w:tcPr>
          <w:p>
            <w:pPr>
              <w:spacing w:before="40" w:after="40"/>
              <w:ind w:left="40" w:right="40"/>
              <w:jc w:val="left"/>
              <w:rPr>
                <w:rFonts w:hint="eastAsia" w:ascii="Arial" w:hAnsi="Arial" w:eastAsia="Arial" w:cs="Arial"/>
                <w:color w:val="000000"/>
                <w:sz w:val="18"/>
              </w:rPr>
            </w:pPr>
          </w:p>
        </w:tc>
        <w:tc>
          <w:tcPr>
            <w:tcW w:w="2381"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1247"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2154" w:type="dxa"/>
            <w:vAlign w:val="top"/>
          </w:tcPr>
          <w:p>
            <w:pPr>
              <w:spacing w:before="40" w:after="40"/>
              <w:ind w:left="40" w:right="40"/>
              <w:jc w:val="left"/>
              <w:rPr>
                <w:rFonts w:hint="eastAsia" w:ascii="Arial" w:hAnsi="Arial" w:eastAsia="Arial" w:cs="Arial"/>
                <w:color w:val="000000"/>
                <w:sz w:val="18"/>
              </w:rPr>
            </w:pPr>
          </w:p>
        </w:tc>
        <w:tc>
          <w:tcPr>
            <w:tcW w:w="680" w:type="dxa"/>
            <w:vAlign w:val="top"/>
          </w:tcPr>
          <w:p>
            <w:pPr>
              <w:spacing w:before="40" w:after="40"/>
              <w:ind w:left="40" w:right="40"/>
              <w:jc w:val="left"/>
              <w:rPr>
                <w:rFonts w:hint="eastAsia" w:ascii="Arial" w:hAnsi="Arial" w:eastAsia="Arial" w:cs="Arial"/>
                <w:color w:val="000000"/>
                <w:sz w:val="18"/>
              </w:rPr>
            </w:pPr>
          </w:p>
        </w:tc>
        <w:tc>
          <w:tcPr>
            <w:tcW w:w="907" w:type="dxa"/>
            <w:vAlign w:val="top"/>
          </w:tcPr>
          <w:p>
            <w:pPr>
              <w:spacing w:before="40" w:after="40"/>
              <w:ind w:left="40" w:right="40"/>
              <w:jc w:val="left"/>
              <w:rPr>
                <w:rFonts w:hint="eastAsia" w:ascii="Arial" w:hAnsi="Arial" w:eastAsia="Arial" w:cs="Arial"/>
                <w:color w:val="000000"/>
                <w:sz w:val="18"/>
              </w:rPr>
            </w:pPr>
          </w:p>
        </w:tc>
        <w:tc>
          <w:tcPr>
            <w:tcW w:w="2608" w:type="dxa"/>
            <w:vAlign w:val="top"/>
          </w:tcPr>
          <w:p>
            <w:pPr>
              <w:spacing w:before="40" w:after="40"/>
              <w:ind w:left="40" w:right="40"/>
              <w:jc w:val="left"/>
              <w:rPr>
                <w:rFonts w:hint="eastAsia" w:ascii="Arial" w:hAnsi="Arial" w:eastAsia="Arial" w:cs="Arial"/>
                <w:color w:val="000000"/>
                <w:sz w:val="18"/>
              </w:rPr>
            </w:pPr>
          </w:p>
        </w:tc>
      </w:tr>
      <w:tr>
        <w:tblPrEx>
          <w:tblCellMar>
            <w:top w:w="0" w:type="dxa"/>
            <w:left w:w="0" w:type="dxa"/>
            <w:bottom w:w="0" w:type="dxa"/>
            <w:right w:w="0" w:type="dxa"/>
          </w:tblCellMar>
        </w:tblPrEx>
        <w:trPr>
          <w:trHeight w:val="425" w:hRule="atLeast"/>
        </w:trPr>
        <w:tc>
          <w:tcPr>
            <w:tcW w:w="944" w:type="dxa"/>
            <w:vAlign w:val="top"/>
          </w:tcPr>
          <w:p>
            <w:pPr>
              <w:spacing w:before="40" w:after="40"/>
              <w:ind w:left="40" w:right="40"/>
              <w:jc w:val="left"/>
              <w:rPr>
                <w:rFonts w:hint="eastAsia" w:ascii="Arial" w:hAnsi="Arial" w:eastAsia="Arial" w:cs="Arial"/>
                <w:color w:val="000000"/>
                <w:sz w:val="18"/>
              </w:rPr>
            </w:pPr>
          </w:p>
        </w:tc>
        <w:tc>
          <w:tcPr>
            <w:tcW w:w="2268" w:type="dxa"/>
            <w:vAlign w:val="top"/>
          </w:tcPr>
          <w:p>
            <w:pPr>
              <w:spacing w:before="40" w:after="40"/>
              <w:ind w:left="40" w:right="40"/>
              <w:jc w:val="left"/>
              <w:rPr>
                <w:rFonts w:hint="eastAsia" w:ascii="Arial" w:hAnsi="Arial" w:eastAsia="Arial" w:cs="Arial"/>
                <w:color w:val="000000"/>
                <w:sz w:val="18"/>
              </w:rPr>
            </w:pPr>
          </w:p>
        </w:tc>
        <w:tc>
          <w:tcPr>
            <w:tcW w:w="1587" w:type="dxa"/>
            <w:vAlign w:val="top"/>
          </w:tcPr>
          <w:p>
            <w:pPr>
              <w:spacing w:before="40" w:after="40"/>
              <w:ind w:left="40" w:right="40"/>
              <w:jc w:val="left"/>
              <w:rPr>
                <w:rFonts w:hint="eastAsia" w:ascii="Arial" w:hAnsi="Arial" w:eastAsia="Arial" w:cs="Arial"/>
                <w:color w:val="000000"/>
                <w:sz w:val="18"/>
              </w:rPr>
            </w:pPr>
          </w:p>
        </w:tc>
        <w:tc>
          <w:tcPr>
            <w:tcW w:w="2381"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1247"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2154" w:type="dxa"/>
            <w:vAlign w:val="top"/>
          </w:tcPr>
          <w:p>
            <w:pPr>
              <w:spacing w:before="40" w:after="40"/>
              <w:ind w:left="40" w:right="40"/>
              <w:jc w:val="left"/>
              <w:rPr>
                <w:rFonts w:hint="eastAsia" w:ascii="Arial" w:hAnsi="Arial" w:eastAsia="Arial" w:cs="Arial"/>
                <w:color w:val="000000"/>
                <w:sz w:val="18"/>
              </w:rPr>
            </w:pPr>
          </w:p>
        </w:tc>
        <w:tc>
          <w:tcPr>
            <w:tcW w:w="680" w:type="dxa"/>
            <w:vAlign w:val="top"/>
          </w:tcPr>
          <w:p>
            <w:pPr>
              <w:spacing w:before="40" w:after="40"/>
              <w:ind w:left="40" w:right="40"/>
              <w:jc w:val="left"/>
              <w:rPr>
                <w:rFonts w:hint="eastAsia" w:ascii="Arial" w:hAnsi="Arial" w:eastAsia="Arial" w:cs="Arial"/>
                <w:color w:val="000000"/>
                <w:sz w:val="18"/>
              </w:rPr>
            </w:pPr>
          </w:p>
        </w:tc>
        <w:tc>
          <w:tcPr>
            <w:tcW w:w="907" w:type="dxa"/>
            <w:vAlign w:val="top"/>
          </w:tcPr>
          <w:p>
            <w:pPr>
              <w:spacing w:before="40" w:after="40"/>
              <w:ind w:left="40" w:right="40"/>
              <w:jc w:val="left"/>
              <w:rPr>
                <w:rFonts w:hint="eastAsia" w:ascii="Arial" w:hAnsi="Arial" w:eastAsia="Arial" w:cs="Arial"/>
                <w:color w:val="000000"/>
                <w:sz w:val="18"/>
              </w:rPr>
            </w:pPr>
          </w:p>
        </w:tc>
        <w:tc>
          <w:tcPr>
            <w:tcW w:w="2608" w:type="dxa"/>
            <w:vAlign w:val="top"/>
          </w:tcPr>
          <w:p>
            <w:pPr>
              <w:spacing w:before="40" w:after="40"/>
              <w:ind w:left="40" w:right="40"/>
              <w:jc w:val="left"/>
              <w:rPr>
                <w:rFonts w:hint="eastAsia" w:ascii="Arial" w:hAnsi="Arial" w:eastAsia="Arial" w:cs="Arial"/>
                <w:color w:val="000000"/>
                <w:sz w:val="18"/>
              </w:rPr>
            </w:pPr>
          </w:p>
        </w:tc>
      </w:tr>
      <w:tr>
        <w:tblPrEx>
          <w:tblCellMar>
            <w:top w:w="0" w:type="dxa"/>
            <w:left w:w="0" w:type="dxa"/>
            <w:bottom w:w="0" w:type="dxa"/>
            <w:right w:w="0" w:type="dxa"/>
          </w:tblCellMar>
        </w:tblPrEx>
        <w:trPr>
          <w:trHeight w:val="907" w:hRule="atLeast"/>
        </w:trPr>
        <w:tc>
          <w:tcPr>
            <w:tcW w:w="15910" w:type="dxa"/>
            <w:gridSpan w:val="11"/>
            <w:vAlign w:val="center"/>
          </w:tcPr>
          <w:p>
            <w:pPr>
              <w:spacing w:before="40" w:after="40"/>
              <w:ind w:left="40" w:right="40"/>
              <w:jc w:val="center"/>
              <w:rPr>
                <w:rFonts w:hint="eastAsia" w:ascii="黑体" w:hAnsi="黑体" w:eastAsia="黑体" w:cs="黑体"/>
                <w:b/>
                <w:color w:val="000000"/>
                <w:sz w:val="32"/>
              </w:rPr>
            </w:pPr>
            <w:r>
              <w:rPr>
                <w:rFonts w:hint="eastAsia" w:ascii="黑体" w:hAnsi="黑体" w:eastAsia="黑体" w:cs="黑体"/>
                <w:b/>
                <w:color w:val="000000"/>
                <w:sz w:val="32"/>
              </w:rPr>
              <w:t>部门预算项目支出绩效自评表（2023年度）</w:t>
            </w:r>
          </w:p>
        </w:tc>
      </w:tr>
      <w:tr>
        <w:tblPrEx>
          <w:tblCellMar>
            <w:top w:w="0" w:type="dxa"/>
            <w:left w:w="0" w:type="dxa"/>
            <w:bottom w:w="0" w:type="dxa"/>
            <w:right w:w="0" w:type="dxa"/>
          </w:tblCellMar>
        </w:tblPrEx>
        <w:trPr>
          <w:trHeight w:val="424" w:hRule="atLeast"/>
        </w:trPr>
        <w:tc>
          <w:tcPr>
            <w:tcW w:w="9561" w:type="dxa"/>
            <w:gridSpan w:val="7"/>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单位(盖章)：中共绵阳市委政法委员会</w:t>
            </w:r>
          </w:p>
        </w:tc>
        <w:tc>
          <w:tcPr>
            <w:tcW w:w="2154" w:type="dxa"/>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填报日期：</w:t>
            </w:r>
          </w:p>
        </w:tc>
        <w:tc>
          <w:tcPr>
            <w:tcW w:w="4195" w:type="dxa"/>
            <w:gridSpan w:val="3"/>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2024年6月3日</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项目名称</w:t>
            </w:r>
          </w:p>
        </w:tc>
        <w:tc>
          <w:tcPr>
            <w:tcW w:w="12698" w:type="dxa"/>
            <w:gridSpan w:val="9"/>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政法宣传专项经费</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主管部门及代码</w:t>
            </w:r>
          </w:p>
        </w:tc>
        <w:tc>
          <w:tcPr>
            <w:tcW w:w="6349"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302-中共绵阳市委政法委员会本级部门</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实施单位</w:t>
            </w:r>
          </w:p>
        </w:tc>
        <w:tc>
          <w:tcPr>
            <w:tcW w:w="4195"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中共绵阳市委政法委员会</w:t>
            </w:r>
          </w:p>
        </w:tc>
      </w:tr>
      <w:tr>
        <w:tblPrEx>
          <w:tblCellMar>
            <w:top w:w="0" w:type="dxa"/>
            <w:left w:w="0" w:type="dxa"/>
            <w:bottom w:w="0" w:type="dxa"/>
            <w:right w:w="0" w:type="dxa"/>
          </w:tblCellMar>
        </w:tblPrEx>
        <w:trPr>
          <w:trHeight w:val="453"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项目资金使用情况（10分）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资金来源</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全年预算数</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调整后预算数</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全年执行数</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自评得分</w:t>
            </w:r>
          </w:p>
        </w:tc>
        <w:tc>
          <w:tcPr>
            <w:tcW w:w="3515"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年度资金总额（万元）</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26.50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26.50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26.50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3515" w:type="dxa"/>
            <w:gridSpan w:val="2"/>
            <w:vMerge w:val="restart"/>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预算执行率较低原因：； 预算调整(调增/调减)原因：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其中：中央、省补助</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市级财政资金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26.50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26.50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26.50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县级财政资金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其他资金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年度总体目标</w:t>
            </w:r>
          </w:p>
        </w:tc>
        <w:tc>
          <w:tcPr>
            <w:tcW w:w="8617"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预期目标</w:t>
            </w:r>
          </w:p>
        </w:tc>
        <w:tc>
          <w:tcPr>
            <w:tcW w:w="6349" w:type="dxa"/>
            <w:gridSpan w:val="4"/>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实际完成情况</w:t>
            </w:r>
          </w:p>
        </w:tc>
      </w:tr>
      <w:tr>
        <w:tblPrEx>
          <w:tblCellMar>
            <w:top w:w="0" w:type="dxa"/>
            <w:left w:w="0" w:type="dxa"/>
            <w:bottom w:w="0" w:type="dxa"/>
            <w:right w:w="0" w:type="dxa"/>
          </w:tblCellMar>
        </w:tblPrEx>
        <w:trPr>
          <w:trHeight w:val="680"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8617" w:type="dxa"/>
            <w:gridSpan w:val="6"/>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提升政法新媒体的网上斗争能力，坚决维护网络意识形态安全；提升政法传统媒体与新媒体的融合发展能力，做大做强做响政法新媒体品牌，牢牢掌握新媒体舆论场的主导权、话语权，及时解疑释惑、回应社会关切，争做政法机关密切联系广大网民的沟通者,与广大群众频互动、勤交流,满腔热情送服务、耐心细致解心结，实现全市政法宣传舆论工作有视野、有站位、有重点、有节奏、有特色、有作为。</w:t>
            </w:r>
          </w:p>
        </w:tc>
        <w:tc>
          <w:tcPr>
            <w:tcW w:w="6349" w:type="dxa"/>
            <w:gridSpan w:val="4"/>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提升政法新媒体的网上斗争能力，坚决维护网络意识形态安全；提升政法传统媒体与新媒体的融合发展能力，做大做强做响政法新媒体品牌，牢牢掌握新媒体舆论场的主导权、话语权，及时解疑释惑、回应社会关切，争做政法机关密切联系广大网民的沟通者,与广大群众频互动、勤交流,满腔热情送服务、耐心细致解心结，实现全市政法宣传舆论工作有视野、有站位、有重点、有节奏、有特色、有作为。</w:t>
            </w: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决策与过程指标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（100分）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分值</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计算过程及得分依据</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（54分）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项目立项</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依据充分性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程序规范性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目标设置</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绩效目标完整性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绩效指标细化量化</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资金预算</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预算编制匹配</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资金分配合理性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过程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（46分）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项目管理制度健全性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项目质量可控性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资金使用合规性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r>
      <w:tr>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财务监督检查</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r>
      <w:tr>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451"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指标性质</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度量单位</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权重</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未完成原因分析</w:t>
            </w:r>
          </w:p>
        </w:tc>
      </w:tr>
      <w:tr>
        <w:tblPrEx>
          <w:tblCellMar>
            <w:top w:w="0" w:type="dxa"/>
            <w:left w:w="0" w:type="dxa"/>
            <w:bottom w:w="0" w:type="dxa"/>
            <w:right w:w="0" w:type="dxa"/>
          </w:tblCellMar>
        </w:tblPrEx>
        <w:trPr>
          <w:trHeight w:val="424"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绩效指标（90分）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产出指标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数量指标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政法宣传舆论暨政法网军专题培训</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场次</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40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40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成本指标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经济成本指标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提升政法传统媒体与新媒体的融合发展能力，做大做强做响政法新媒体品牌，牢牢掌握新媒体舆论场的主导权、话语权，及时解疑释惑、回应社会关切，争做政法机关密切联系广大网民的沟通者,与广大群众频互动、勤交流,满腔热情送服务、耐心细致解心结</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265000</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元</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效益指标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社会效益指标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全面收集各类政法舆情信息，及时发现重大敏感舆情，研判舆情影响和走势，实现全市政法宣传舆论工作有视野、有站位、有重点、有节奏、有特色、有作为。</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优</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场次</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提升政法新媒体的网上斗争能力，坚决维护网络意识形态安全，确保做到早发现早处置；提升政法传统媒体与新媒体的融合发展能力，做大做强做响政法新媒体品牌，牢牢掌握新媒体舆论场的主导权、话语权</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优</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场次</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自评折算后总分(分值折算方式：“决策与过程指标”赋值100分按30%折算，“预算执行率和绩效指标”赋值100分按70%折算)：</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评价结论</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根据该项目决策及过程管理、预算执行率及绩效目标实现程度指标自评得分100.00分，自评等次为：优。实现全市政法宣传舆论工作有视野、有站位、有重点、有节奏、有特色、有作为</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存在问题</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改进措施</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425" w:hRule="atLeast"/>
        </w:trPr>
        <w:tc>
          <w:tcPr>
            <w:tcW w:w="7747"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项目负责人：陈安</w:t>
            </w:r>
          </w:p>
        </w:tc>
        <w:tc>
          <w:tcPr>
            <w:tcW w:w="8163"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财务负责人：文灏源</w:t>
            </w:r>
          </w:p>
        </w:tc>
      </w:tr>
      <w:tr>
        <w:tblPrEx>
          <w:tblCellMar>
            <w:top w:w="0" w:type="dxa"/>
            <w:left w:w="0" w:type="dxa"/>
            <w:bottom w:w="0" w:type="dxa"/>
            <w:right w:w="0" w:type="dxa"/>
          </w:tblCellMar>
        </w:tblPrEx>
        <w:trPr>
          <w:trHeight w:val="425" w:hRule="atLeast"/>
        </w:trPr>
        <w:tc>
          <w:tcPr>
            <w:tcW w:w="944" w:type="dxa"/>
            <w:vAlign w:val="top"/>
          </w:tcPr>
          <w:p>
            <w:pPr>
              <w:spacing w:before="40" w:after="40"/>
              <w:ind w:left="40" w:right="40"/>
              <w:jc w:val="left"/>
              <w:rPr>
                <w:rFonts w:hint="eastAsia" w:ascii="Arial" w:hAnsi="Arial" w:eastAsia="Arial" w:cs="Arial"/>
                <w:color w:val="000000"/>
                <w:sz w:val="18"/>
              </w:rPr>
            </w:pPr>
          </w:p>
        </w:tc>
        <w:tc>
          <w:tcPr>
            <w:tcW w:w="2268" w:type="dxa"/>
            <w:vAlign w:val="top"/>
          </w:tcPr>
          <w:p>
            <w:pPr>
              <w:spacing w:before="40" w:after="40"/>
              <w:ind w:left="40" w:right="40"/>
              <w:jc w:val="left"/>
              <w:rPr>
                <w:rFonts w:hint="eastAsia" w:ascii="Arial" w:hAnsi="Arial" w:eastAsia="Arial" w:cs="Arial"/>
                <w:color w:val="000000"/>
                <w:sz w:val="18"/>
              </w:rPr>
            </w:pPr>
          </w:p>
        </w:tc>
        <w:tc>
          <w:tcPr>
            <w:tcW w:w="1587" w:type="dxa"/>
            <w:vAlign w:val="top"/>
          </w:tcPr>
          <w:p>
            <w:pPr>
              <w:spacing w:before="40" w:after="40"/>
              <w:ind w:left="40" w:right="40"/>
              <w:jc w:val="left"/>
              <w:rPr>
                <w:rFonts w:hint="eastAsia" w:ascii="Arial" w:hAnsi="Arial" w:eastAsia="Arial" w:cs="Arial"/>
                <w:color w:val="000000"/>
                <w:sz w:val="18"/>
              </w:rPr>
            </w:pPr>
          </w:p>
        </w:tc>
        <w:tc>
          <w:tcPr>
            <w:tcW w:w="2381"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1247"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2154" w:type="dxa"/>
            <w:vAlign w:val="top"/>
          </w:tcPr>
          <w:p>
            <w:pPr>
              <w:spacing w:before="40" w:after="40"/>
              <w:ind w:left="40" w:right="40"/>
              <w:jc w:val="left"/>
              <w:rPr>
                <w:rFonts w:hint="eastAsia" w:ascii="Arial" w:hAnsi="Arial" w:eastAsia="Arial" w:cs="Arial"/>
                <w:color w:val="000000"/>
                <w:sz w:val="18"/>
              </w:rPr>
            </w:pPr>
          </w:p>
        </w:tc>
        <w:tc>
          <w:tcPr>
            <w:tcW w:w="680" w:type="dxa"/>
            <w:vAlign w:val="top"/>
          </w:tcPr>
          <w:p>
            <w:pPr>
              <w:spacing w:before="40" w:after="40"/>
              <w:ind w:left="40" w:right="40"/>
              <w:jc w:val="left"/>
              <w:rPr>
                <w:rFonts w:hint="eastAsia" w:ascii="Arial" w:hAnsi="Arial" w:eastAsia="Arial" w:cs="Arial"/>
                <w:color w:val="000000"/>
                <w:sz w:val="18"/>
              </w:rPr>
            </w:pPr>
          </w:p>
        </w:tc>
        <w:tc>
          <w:tcPr>
            <w:tcW w:w="907" w:type="dxa"/>
            <w:vAlign w:val="top"/>
          </w:tcPr>
          <w:p>
            <w:pPr>
              <w:spacing w:before="40" w:after="40"/>
              <w:ind w:left="40" w:right="40"/>
              <w:jc w:val="left"/>
              <w:rPr>
                <w:rFonts w:hint="eastAsia" w:ascii="Arial" w:hAnsi="Arial" w:eastAsia="Arial" w:cs="Arial"/>
                <w:color w:val="000000"/>
                <w:sz w:val="18"/>
              </w:rPr>
            </w:pPr>
          </w:p>
        </w:tc>
        <w:tc>
          <w:tcPr>
            <w:tcW w:w="2608" w:type="dxa"/>
            <w:vAlign w:val="top"/>
          </w:tcPr>
          <w:p>
            <w:pPr>
              <w:spacing w:before="40" w:after="40"/>
              <w:ind w:left="40" w:right="40"/>
              <w:jc w:val="left"/>
              <w:rPr>
                <w:rFonts w:hint="eastAsia" w:ascii="Arial" w:hAnsi="Arial" w:eastAsia="Arial" w:cs="Arial"/>
                <w:color w:val="000000"/>
                <w:sz w:val="18"/>
              </w:rPr>
            </w:pPr>
          </w:p>
        </w:tc>
      </w:tr>
      <w:tr>
        <w:tblPrEx>
          <w:tblCellMar>
            <w:top w:w="0" w:type="dxa"/>
            <w:left w:w="0" w:type="dxa"/>
            <w:bottom w:w="0" w:type="dxa"/>
            <w:right w:w="0" w:type="dxa"/>
          </w:tblCellMar>
        </w:tblPrEx>
        <w:trPr>
          <w:trHeight w:val="907" w:hRule="atLeast"/>
        </w:trPr>
        <w:tc>
          <w:tcPr>
            <w:tcW w:w="15910" w:type="dxa"/>
            <w:gridSpan w:val="11"/>
            <w:vAlign w:val="center"/>
          </w:tcPr>
          <w:p>
            <w:pPr>
              <w:spacing w:before="40" w:after="40"/>
              <w:ind w:left="40" w:right="40"/>
              <w:jc w:val="center"/>
              <w:rPr>
                <w:rFonts w:hint="eastAsia" w:ascii="黑体" w:hAnsi="黑体" w:eastAsia="黑体" w:cs="黑体"/>
                <w:b/>
                <w:color w:val="000000"/>
                <w:sz w:val="32"/>
              </w:rPr>
            </w:pPr>
            <w:r>
              <w:rPr>
                <w:rFonts w:hint="eastAsia" w:ascii="黑体" w:hAnsi="黑体" w:eastAsia="黑体" w:cs="黑体"/>
                <w:b/>
                <w:color w:val="000000"/>
                <w:sz w:val="32"/>
              </w:rPr>
              <w:t>部门预算项目支出绩效自评表（2023年度）</w:t>
            </w:r>
          </w:p>
        </w:tc>
      </w:tr>
      <w:tr>
        <w:tblPrEx>
          <w:tblCellMar>
            <w:top w:w="0" w:type="dxa"/>
            <w:left w:w="0" w:type="dxa"/>
            <w:bottom w:w="0" w:type="dxa"/>
            <w:right w:w="0" w:type="dxa"/>
          </w:tblCellMar>
        </w:tblPrEx>
        <w:trPr>
          <w:trHeight w:val="424" w:hRule="atLeast"/>
        </w:trPr>
        <w:tc>
          <w:tcPr>
            <w:tcW w:w="9561" w:type="dxa"/>
            <w:gridSpan w:val="7"/>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单位(盖章)：中共绵阳市委政法委员会</w:t>
            </w:r>
          </w:p>
        </w:tc>
        <w:tc>
          <w:tcPr>
            <w:tcW w:w="2154" w:type="dxa"/>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填报日期：</w:t>
            </w:r>
          </w:p>
        </w:tc>
        <w:tc>
          <w:tcPr>
            <w:tcW w:w="4195" w:type="dxa"/>
            <w:gridSpan w:val="3"/>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2024年5月30日</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项目名称</w:t>
            </w:r>
          </w:p>
        </w:tc>
        <w:tc>
          <w:tcPr>
            <w:tcW w:w="12698" w:type="dxa"/>
            <w:gridSpan w:val="9"/>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政法系统政治轮训、政治督察经费</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主管部门及代码</w:t>
            </w:r>
          </w:p>
        </w:tc>
        <w:tc>
          <w:tcPr>
            <w:tcW w:w="6349"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302-中共绵阳市委政法委员会本级部门</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实施单位</w:t>
            </w:r>
          </w:p>
        </w:tc>
        <w:tc>
          <w:tcPr>
            <w:tcW w:w="4195"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中共绵阳市委政法委员会</w:t>
            </w:r>
          </w:p>
        </w:tc>
      </w:tr>
      <w:tr>
        <w:tblPrEx>
          <w:tblCellMar>
            <w:top w:w="0" w:type="dxa"/>
            <w:left w:w="0" w:type="dxa"/>
            <w:bottom w:w="0" w:type="dxa"/>
            <w:right w:w="0" w:type="dxa"/>
          </w:tblCellMar>
        </w:tblPrEx>
        <w:trPr>
          <w:trHeight w:val="453"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项目资金使用情况（10分）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资金来源</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全年预算数</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调整后预算数</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全年执行数</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自评得分</w:t>
            </w:r>
          </w:p>
        </w:tc>
        <w:tc>
          <w:tcPr>
            <w:tcW w:w="3515"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年度资金总额（万元）</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3515" w:type="dxa"/>
            <w:gridSpan w:val="2"/>
            <w:vMerge w:val="restart"/>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预算执行率较低原因：； 预算调整(调增/调减)原因：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其中：中央、省补助</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市级财政资金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县级财政资金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其他资金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年度总体目标</w:t>
            </w:r>
          </w:p>
        </w:tc>
        <w:tc>
          <w:tcPr>
            <w:tcW w:w="8617"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预期目标</w:t>
            </w:r>
          </w:p>
        </w:tc>
        <w:tc>
          <w:tcPr>
            <w:tcW w:w="6349" w:type="dxa"/>
            <w:gridSpan w:val="4"/>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实际完成情况</w:t>
            </w:r>
          </w:p>
        </w:tc>
      </w:tr>
      <w:tr>
        <w:tblPrEx>
          <w:tblCellMar>
            <w:top w:w="0" w:type="dxa"/>
            <w:left w:w="0" w:type="dxa"/>
            <w:bottom w:w="0" w:type="dxa"/>
            <w:right w:w="0" w:type="dxa"/>
          </w:tblCellMar>
        </w:tblPrEx>
        <w:trPr>
          <w:trHeight w:val="680"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8617" w:type="dxa"/>
            <w:gridSpan w:val="6"/>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全市政法系统执法司法能力水平进一步提升，更好地保障绵阳市经济社会发展</w:t>
            </w:r>
          </w:p>
        </w:tc>
        <w:tc>
          <w:tcPr>
            <w:tcW w:w="6349" w:type="dxa"/>
            <w:gridSpan w:val="4"/>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全市政法系统执法司法能力水平进一步提升，更好地保障绵阳市经济社会发展</w:t>
            </w: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决策与过程指标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（100分）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分值</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计算过程及得分依据</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（54分）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项目立项</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依据充分性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程序规范性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目标设置</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绩效目标完整性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绩效指标细化量化</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资金预算</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预算编制匹配</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资金分配合理性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过程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（46分）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项目管理制度健全性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项目质量可控性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资金使用合规性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财务监督检查</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451"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指标性质</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度量单位</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权重</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未完成原因分析</w:t>
            </w:r>
          </w:p>
        </w:tc>
      </w:tr>
      <w:tr>
        <w:tblPrEx>
          <w:tblCellMar>
            <w:top w:w="0" w:type="dxa"/>
            <w:left w:w="0" w:type="dxa"/>
            <w:bottom w:w="0" w:type="dxa"/>
            <w:right w:w="0" w:type="dxa"/>
          </w:tblCellMar>
        </w:tblPrEx>
        <w:trPr>
          <w:trHeight w:val="424"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绩效指标（90分）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产出指标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数量指标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全市乡镇(街道）政法委员政治轮训费用、全市政法领导干部政治轮训费用</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次</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50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50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效益指标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社会效益指标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政法领导干部、政法委员政治素质明显提升；全市政法系统纪律作风建设水平进一步提高</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优</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优</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圆满完成市委任务</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优</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优</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自评折算后总分(分值折算方式：“决策与过程指标”赋值100分按30%折算，“预算执行率和绩效指标”赋值100分按70%折算)：</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评价结论</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根据该项目决策及过程管理、预算执行率及绩效目标实现程度指标自评得分100.00分，自评等次为：优。全市政法系统执法司法能力水平进一步提升，更好地保障绵阳市经济社会发展</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存在问题</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改进措施</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425" w:hRule="atLeast"/>
        </w:trPr>
        <w:tc>
          <w:tcPr>
            <w:tcW w:w="7747"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项目负责人：刘显友</w:t>
            </w:r>
          </w:p>
        </w:tc>
        <w:tc>
          <w:tcPr>
            <w:tcW w:w="8163"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财务负责人：文颢源</w:t>
            </w:r>
          </w:p>
        </w:tc>
      </w:tr>
      <w:tr>
        <w:tblPrEx>
          <w:tblCellMar>
            <w:top w:w="0" w:type="dxa"/>
            <w:left w:w="0" w:type="dxa"/>
            <w:bottom w:w="0" w:type="dxa"/>
            <w:right w:w="0" w:type="dxa"/>
          </w:tblCellMar>
        </w:tblPrEx>
        <w:trPr>
          <w:trHeight w:val="425" w:hRule="atLeast"/>
        </w:trPr>
        <w:tc>
          <w:tcPr>
            <w:tcW w:w="944" w:type="dxa"/>
            <w:vAlign w:val="top"/>
          </w:tcPr>
          <w:p>
            <w:pPr>
              <w:spacing w:before="40" w:after="40"/>
              <w:ind w:left="40" w:right="40"/>
              <w:jc w:val="left"/>
              <w:rPr>
                <w:rFonts w:hint="eastAsia" w:ascii="Arial" w:hAnsi="Arial" w:eastAsia="Arial" w:cs="Arial"/>
                <w:color w:val="000000"/>
                <w:sz w:val="18"/>
              </w:rPr>
            </w:pPr>
          </w:p>
        </w:tc>
        <w:tc>
          <w:tcPr>
            <w:tcW w:w="2268" w:type="dxa"/>
            <w:vAlign w:val="top"/>
          </w:tcPr>
          <w:p>
            <w:pPr>
              <w:spacing w:before="40" w:after="40"/>
              <w:ind w:left="40" w:right="40"/>
              <w:jc w:val="left"/>
              <w:rPr>
                <w:rFonts w:hint="eastAsia" w:ascii="Arial" w:hAnsi="Arial" w:eastAsia="Arial" w:cs="Arial"/>
                <w:color w:val="000000"/>
                <w:sz w:val="18"/>
              </w:rPr>
            </w:pPr>
          </w:p>
        </w:tc>
        <w:tc>
          <w:tcPr>
            <w:tcW w:w="1587" w:type="dxa"/>
            <w:vAlign w:val="top"/>
          </w:tcPr>
          <w:p>
            <w:pPr>
              <w:spacing w:before="40" w:after="40"/>
              <w:ind w:left="40" w:right="40"/>
              <w:jc w:val="left"/>
              <w:rPr>
                <w:rFonts w:hint="eastAsia" w:ascii="Arial" w:hAnsi="Arial" w:eastAsia="Arial" w:cs="Arial"/>
                <w:color w:val="000000"/>
                <w:sz w:val="18"/>
              </w:rPr>
            </w:pPr>
          </w:p>
        </w:tc>
        <w:tc>
          <w:tcPr>
            <w:tcW w:w="2381"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1247"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2154" w:type="dxa"/>
            <w:vAlign w:val="top"/>
          </w:tcPr>
          <w:p>
            <w:pPr>
              <w:spacing w:before="40" w:after="40"/>
              <w:ind w:left="40" w:right="40"/>
              <w:jc w:val="left"/>
              <w:rPr>
                <w:rFonts w:hint="eastAsia" w:ascii="Arial" w:hAnsi="Arial" w:eastAsia="Arial" w:cs="Arial"/>
                <w:color w:val="000000"/>
                <w:sz w:val="18"/>
              </w:rPr>
            </w:pPr>
          </w:p>
        </w:tc>
        <w:tc>
          <w:tcPr>
            <w:tcW w:w="680" w:type="dxa"/>
            <w:vAlign w:val="top"/>
          </w:tcPr>
          <w:p>
            <w:pPr>
              <w:spacing w:before="40" w:after="40"/>
              <w:ind w:left="40" w:right="40"/>
              <w:jc w:val="left"/>
              <w:rPr>
                <w:rFonts w:hint="eastAsia" w:ascii="Arial" w:hAnsi="Arial" w:eastAsia="Arial" w:cs="Arial"/>
                <w:color w:val="000000"/>
                <w:sz w:val="18"/>
              </w:rPr>
            </w:pPr>
          </w:p>
        </w:tc>
        <w:tc>
          <w:tcPr>
            <w:tcW w:w="907" w:type="dxa"/>
            <w:vAlign w:val="top"/>
          </w:tcPr>
          <w:p>
            <w:pPr>
              <w:spacing w:before="40" w:after="40"/>
              <w:ind w:left="40" w:right="40"/>
              <w:jc w:val="left"/>
              <w:rPr>
                <w:rFonts w:hint="eastAsia" w:ascii="Arial" w:hAnsi="Arial" w:eastAsia="Arial" w:cs="Arial"/>
                <w:color w:val="000000"/>
                <w:sz w:val="18"/>
              </w:rPr>
            </w:pPr>
          </w:p>
        </w:tc>
        <w:tc>
          <w:tcPr>
            <w:tcW w:w="2608" w:type="dxa"/>
            <w:vAlign w:val="top"/>
          </w:tcPr>
          <w:p>
            <w:pPr>
              <w:spacing w:before="40" w:after="40"/>
              <w:ind w:left="40" w:right="40"/>
              <w:jc w:val="left"/>
              <w:rPr>
                <w:rFonts w:hint="eastAsia" w:ascii="Arial" w:hAnsi="Arial" w:eastAsia="Arial" w:cs="Arial"/>
                <w:color w:val="000000"/>
                <w:sz w:val="18"/>
              </w:rPr>
            </w:pPr>
          </w:p>
        </w:tc>
      </w:tr>
      <w:tr>
        <w:tblPrEx>
          <w:tblCellMar>
            <w:top w:w="0" w:type="dxa"/>
            <w:left w:w="0" w:type="dxa"/>
            <w:bottom w:w="0" w:type="dxa"/>
            <w:right w:w="0" w:type="dxa"/>
          </w:tblCellMar>
        </w:tblPrEx>
        <w:trPr>
          <w:trHeight w:val="907" w:hRule="atLeast"/>
        </w:trPr>
        <w:tc>
          <w:tcPr>
            <w:tcW w:w="15910" w:type="dxa"/>
            <w:gridSpan w:val="11"/>
            <w:vAlign w:val="center"/>
          </w:tcPr>
          <w:p>
            <w:pPr>
              <w:spacing w:before="40" w:after="40"/>
              <w:ind w:left="40" w:right="40"/>
              <w:jc w:val="center"/>
              <w:rPr>
                <w:rFonts w:hint="eastAsia" w:ascii="黑体" w:hAnsi="黑体" w:eastAsia="黑体" w:cs="黑体"/>
                <w:b/>
                <w:color w:val="000000"/>
                <w:sz w:val="32"/>
              </w:rPr>
            </w:pPr>
            <w:r>
              <w:rPr>
                <w:rFonts w:hint="eastAsia" w:ascii="黑体" w:hAnsi="黑体" w:eastAsia="黑体" w:cs="黑体"/>
                <w:b/>
                <w:color w:val="000000"/>
                <w:sz w:val="32"/>
              </w:rPr>
              <w:t>部门预算项目支出绩效自评表（2023年度）</w:t>
            </w:r>
          </w:p>
        </w:tc>
      </w:tr>
      <w:tr>
        <w:tblPrEx>
          <w:tblCellMar>
            <w:top w:w="0" w:type="dxa"/>
            <w:left w:w="0" w:type="dxa"/>
            <w:bottom w:w="0" w:type="dxa"/>
            <w:right w:w="0" w:type="dxa"/>
          </w:tblCellMar>
        </w:tblPrEx>
        <w:trPr>
          <w:trHeight w:val="424" w:hRule="atLeast"/>
        </w:trPr>
        <w:tc>
          <w:tcPr>
            <w:tcW w:w="9561" w:type="dxa"/>
            <w:gridSpan w:val="7"/>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单位(盖章)：中共绵阳市委政法委员会</w:t>
            </w:r>
          </w:p>
        </w:tc>
        <w:tc>
          <w:tcPr>
            <w:tcW w:w="2154" w:type="dxa"/>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填报日期：</w:t>
            </w:r>
          </w:p>
        </w:tc>
        <w:tc>
          <w:tcPr>
            <w:tcW w:w="4195" w:type="dxa"/>
            <w:gridSpan w:val="3"/>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2024年5月31日</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项目名称</w:t>
            </w:r>
          </w:p>
        </w:tc>
        <w:tc>
          <w:tcPr>
            <w:tcW w:w="12698" w:type="dxa"/>
            <w:gridSpan w:val="9"/>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政法重点调研课题经费</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主管部门及代码</w:t>
            </w:r>
          </w:p>
        </w:tc>
        <w:tc>
          <w:tcPr>
            <w:tcW w:w="6349"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302-中共绵阳市委政法委员会本级部门</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实施单位</w:t>
            </w:r>
          </w:p>
        </w:tc>
        <w:tc>
          <w:tcPr>
            <w:tcW w:w="4195"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中共绵阳市委政法委员会</w:t>
            </w:r>
          </w:p>
        </w:tc>
      </w:tr>
      <w:tr>
        <w:tblPrEx>
          <w:tblCellMar>
            <w:top w:w="0" w:type="dxa"/>
            <w:left w:w="0" w:type="dxa"/>
            <w:bottom w:w="0" w:type="dxa"/>
            <w:right w:w="0" w:type="dxa"/>
          </w:tblCellMar>
        </w:tblPrEx>
        <w:trPr>
          <w:trHeight w:val="453"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项目资金使用情况（10分）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资金来源</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全年预算数</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调整后预算数</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全年执行数</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自评得分</w:t>
            </w:r>
          </w:p>
        </w:tc>
        <w:tc>
          <w:tcPr>
            <w:tcW w:w="3515"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原因</w:t>
            </w:r>
          </w:p>
        </w:tc>
      </w:tr>
      <w:tr>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年度资金总额（万元）</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5.00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5.00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5.00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3515" w:type="dxa"/>
            <w:gridSpan w:val="2"/>
            <w:vMerge w:val="restart"/>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预算执行率较低原因：； 预算调整(调增/调减)原因：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其中：中央、省补助</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市级财政资金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5.00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5.00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5.00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县级财政资金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其他资金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年度总体目标</w:t>
            </w:r>
          </w:p>
        </w:tc>
        <w:tc>
          <w:tcPr>
            <w:tcW w:w="8617"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预期目标</w:t>
            </w:r>
          </w:p>
        </w:tc>
        <w:tc>
          <w:tcPr>
            <w:tcW w:w="6349" w:type="dxa"/>
            <w:gridSpan w:val="4"/>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实际完成情况</w:t>
            </w:r>
          </w:p>
        </w:tc>
      </w:tr>
      <w:tr>
        <w:tblPrEx>
          <w:tblCellMar>
            <w:top w:w="0" w:type="dxa"/>
            <w:left w:w="0" w:type="dxa"/>
            <w:bottom w:w="0" w:type="dxa"/>
            <w:right w:w="0" w:type="dxa"/>
          </w:tblCellMar>
        </w:tblPrEx>
        <w:trPr>
          <w:trHeight w:val="680"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8617" w:type="dxa"/>
            <w:gridSpan w:val="6"/>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为中国科技城建设和西部现代化强市建设提供安全的政治环境、稳定的社会环境、公平的法治环境、优质的服务环境。</w:t>
            </w:r>
          </w:p>
        </w:tc>
        <w:tc>
          <w:tcPr>
            <w:tcW w:w="6349" w:type="dxa"/>
            <w:gridSpan w:val="4"/>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为中国科技城建设和西部现代化强市建设提供安全的政治环境、稳定的社会环境、公平的法治环境、优质的服务环境。</w:t>
            </w: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决策与过程指标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（100分）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分值</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计算过程及得分依据</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（54分）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项目立项</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依据充分性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程序规范性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目标设置</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绩效目标完整性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绩效指标细化量化</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资金预算</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预算编制匹配</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资金分配合理性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过程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（46分）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项目管理制度健全性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项目质量可控性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资金使用合规性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r>
      <w:tr>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财务监督检查</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451"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指标性质</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度量单位</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权重</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未完成原因分析</w:t>
            </w:r>
          </w:p>
        </w:tc>
      </w:tr>
      <w:tr>
        <w:tblPrEx>
          <w:tblCellMar>
            <w:top w:w="0" w:type="dxa"/>
            <w:left w:w="0" w:type="dxa"/>
            <w:bottom w:w="0" w:type="dxa"/>
            <w:right w:w="0" w:type="dxa"/>
          </w:tblCellMar>
        </w:tblPrEx>
        <w:trPr>
          <w:trHeight w:val="424"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绩效指标（90分）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产出指标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时效指标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2023年12月31日前</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40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40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成本指标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经济成本指标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保障调研工作顺利开展</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50000</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元</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效益指标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社会效益指标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为中国科技城建设和西部现代化强市建设提供安全的政治环境、稳定的社会环境、公平的法治环境、优质的服务环境。</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圆满完成任务</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自评折算后总分(分值折算方式：“决策与过程指标”赋值100分按30%折算，“预算执行率和绩效指标”赋值100分按70%折算)：</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评价结论</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根据该项目决策及过程管理、预算执行率及绩效目标实现程度指标自评得分100.00分，自评等次为：优。为中国科技城建设和西部现代化强市建设提供安全的政治环境、稳定的社会环境、公平的法治环境、优质的服务环境。</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存在问题</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改进措施</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425" w:hRule="atLeast"/>
        </w:trPr>
        <w:tc>
          <w:tcPr>
            <w:tcW w:w="7747"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项目负责人：赵显福</w:t>
            </w:r>
          </w:p>
        </w:tc>
        <w:tc>
          <w:tcPr>
            <w:tcW w:w="8163"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财务负责人：文颢源</w:t>
            </w:r>
          </w:p>
        </w:tc>
      </w:tr>
      <w:tr>
        <w:tblPrEx>
          <w:tblCellMar>
            <w:top w:w="0" w:type="dxa"/>
            <w:left w:w="0" w:type="dxa"/>
            <w:bottom w:w="0" w:type="dxa"/>
            <w:right w:w="0" w:type="dxa"/>
          </w:tblCellMar>
        </w:tblPrEx>
        <w:trPr>
          <w:trHeight w:val="425" w:hRule="atLeast"/>
        </w:trPr>
        <w:tc>
          <w:tcPr>
            <w:tcW w:w="944" w:type="dxa"/>
            <w:vAlign w:val="top"/>
          </w:tcPr>
          <w:p>
            <w:pPr>
              <w:spacing w:before="40" w:after="40"/>
              <w:ind w:left="40" w:right="40"/>
              <w:jc w:val="left"/>
              <w:rPr>
                <w:rFonts w:hint="eastAsia" w:ascii="Arial" w:hAnsi="Arial" w:eastAsia="Arial" w:cs="Arial"/>
                <w:color w:val="000000"/>
                <w:sz w:val="18"/>
              </w:rPr>
            </w:pPr>
          </w:p>
        </w:tc>
        <w:tc>
          <w:tcPr>
            <w:tcW w:w="2268" w:type="dxa"/>
            <w:vAlign w:val="top"/>
          </w:tcPr>
          <w:p>
            <w:pPr>
              <w:spacing w:before="40" w:after="40"/>
              <w:ind w:left="40" w:right="40"/>
              <w:jc w:val="left"/>
              <w:rPr>
                <w:rFonts w:hint="eastAsia" w:ascii="Arial" w:hAnsi="Arial" w:eastAsia="Arial" w:cs="Arial"/>
                <w:color w:val="000000"/>
                <w:sz w:val="18"/>
              </w:rPr>
            </w:pPr>
          </w:p>
        </w:tc>
        <w:tc>
          <w:tcPr>
            <w:tcW w:w="1587" w:type="dxa"/>
            <w:vAlign w:val="top"/>
          </w:tcPr>
          <w:p>
            <w:pPr>
              <w:spacing w:before="40" w:after="40"/>
              <w:ind w:left="40" w:right="40"/>
              <w:jc w:val="left"/>
              <w:rPr>
                <w:rFonts w:hint="eastAsia" w:ascii="Arial" w:hAnsi="Arial" w:eastAsia="Arial" w:cs="Arial"/>
                <w:color w:val="000000"/>
                <w:sz w:val="18"/>
              </w:rPr>
            </w:pPr>
          </w:p>
        </w:tc>
        <w:tc>
          <w:tcPr>
            <w:tcW w:w="2381"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1247"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2154" w:type="dxa"/>
            <w:vAlign w:val="top"/>
          </w:tcPr>
          <w:p>
            <w:pPr>
              <w:spacing w:before="40" w:after="40"/>
              <w:ind w:left="40" w:right="40"/>
              <w:jc w:val="left"/>
              <w:rPr>
                <w:rFonts w:hint="eastAsia" w:ascii="Arial" w:hAnsi="Arial" w:eastAsia="Arial" w:cs="Arial"/>
                <w:color w:val="000000"/>
                <w:sz w:val="18"/>
              </w:rPr>
            </w:pPr>
          </w:p>
        </w:tc>
        <w:tc>
          <w:tcPr>
            <w:tcW w:w="680" w:type="dxa"/>
            <w:vAlign w:val="top"/>
          </w:tcPr>
          <w:p>
            <w:pPr>
              <w:spacing w:before="40" w:after="40"/>
              <w:ind w:left="40" w:right="40"/>
              <w:jc w:val="left"/>
              <w:rPr>
                <w:rFonts w:hint="eastAsia" w:ascii="Arial" w:hAnsi="Arial" w:eastAsia="Arial" w:cs="Arial"/>
                <w:color w:val="000000"/>
                <w:sz w:val="18"/>
              </w:rPr>
            </w:pPr>
          </w:p>
        </w:tc>
        <w:tc>
          <w:tcPr>
            <w:tcW w:w="907" w:type="dxa"/>
            <w:vAlign w:val="top"/>
          </w:tcPr>
          <w:p>
            <w:pPr>
              <w:spacing w:before="40" w:after="40"/>
              <w:ind w:left="40" w:right="40"/>
              <w:jc w:val="left"/>
              <w:rPr>
                <w:rFonts w:hint="eastAsia" w:ascii="Arial" w:hAnsi="Arial" w:eastAsia="Arial" w:cs="Arial"/>
                <w:color w:val="000000"/>
                <w:sz w:val="18"/>
              </w:rPr>
            </w:pPr>
          </w:p>
        </w:tc>
        <w:tc>
          <w:tcPr>
            <w:tcW w:w="2608" w:type="dxa"/>
            <w:vAlign w:val="top"/>
          </w:tcPr>
          <w:p>
            <w:pPr>
              <w:spacing w:before="40" w:after="40"/>
              <w:ind w:left="40" w:right="40"/>
              <w:jc w:val="left"/>
              <w:rPr>
                <w:rFonts w:hint="eastAsia" w:ascii="Arial" w:hAnsi="Arial" w:eastAsia="Arial" w:cs="Arial"/>
                <w:color w:val="000000"/>
                <w:sz w:val="18"/>
              </w:rPr>
            </w:pP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项目名称</w:t>
            </w:r>
          </w:p>
        </w:tc>
        <w:tc>
          <w:tcPr>
            <w:tcW w:w="12698" w:type="dxa"/>
            <w:gridSpan w:val="9"/>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治蜀兴川论坛专项经费</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主管部门及代码</w:t>
            </w:r>
          </w:p>
        </w:tc>
        <w:tc>
          <w:tcPr>
            <w:tcW w:w="6349"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302-中共绵阳市委政法委员会本级部门</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实施单位</w:t>
            </w:r>
          </w:p>
        </w:tc>
        <w:tc>
          <w:tcPr>
            <w:tcW w:w="4195"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中共绵阳市委政法委员会</w:t>
            </w:r>
          </w:p>
        </w:tc>
      </w:tr>
      <w:tr>
        <w:tblPrEx>
          <w:tblCellMar>
            <w:top w:w="0" w:type="dxa"/>
            <w:left w:w="0" w:type="dxa"/>
            <w:bottom w:w="0" w:type="dxa"/>
            <w:right w:w="0" w:type="dxa"/>
          </w:tblCellMar>
        </w:tblPrEx>
        <w:trPr>
          <w:trHeight w:val="453"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项目资金使用情况（10分）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资金来源</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全年预算数</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调整后预算数</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全年执行数</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自评得分</w:t>
            </w:r>
          </w:p>
        </w:tc>
        <w:tc>
          <w:tcPr>
            <w:tcW w:w="3515"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年度资金总额（万元）</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154.97</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81.12</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0.52</w:t>
            </w:r>
          </w:p>
        </w:tc>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5.23</w:t>
            </w:r>
          </w:p>
        </w:tc>
        <w:tc>
          <w:tcPr>
            <w:tcW w:w="3515" w:type="dxa"/>
            <w:gridSpan w:val="2"/>
            <w:vMerge w:val="restart"/>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预算执行率较低原因：部分参与单位开票时间滞后，造成支付滞后； 预算调整(调增/调减)原因：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其中：中央、省补助</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市级财政资金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154.97</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81.12</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0.52</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县级财政资金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其他资金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年度总体目标</w:t>
            </w:r>
          </w:p>
        </w:tc>
        <w:tc>
          <w:tcPr>
            <w:tcW w:w="8617"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预期目标</w:t>
            </w:r>
          </w:p>
        </w:tc>
        <w:tc>
          <w:tcPr>
            <w:tcW w:w="6349" w:type="dxa"/>
            <w:gridSpan w:val="4"/>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实际完成情况</w:t>
            </w:r>
          </w:p>
        </w:tc>
      </w:tr>
      <w:tr>
        <w:tblPrEx>
          <w:tblCellMar>
            <w:top w:w="0" w:type="dxa"/>
            <w:left w:w="0" w:type="dxa"/>
            <w:bottom w:w="0" w:type="dxa"/>
            <w:right w:w="0" w:type="dxa"/>
          </w:tblCellMar>
        </w:tblPrEx>
        <w:trPr>
          <w:trHeight w:val="680"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8617" w:type="dxa"/>
            <w:gridSpan w:val="6"/>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确保治蜀兴川论坛顺利进行</w:t>
            </w:r>
          </w:p>
        </w:tc>
        <w:tc>
          <w:tcPr>
            <w:tcW w:w="6349" w:type="dxa"/>
            <w:gridSpan w:val="4"/>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确保治蜀兴川论坛顺利进行</w:t>
            </w: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决策与过程指标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（100分）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分值</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计算过程及得分依据</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（54分）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项目立项</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依据充分性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程序规范性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目标设置</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绩效目标完整性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绩效指标细化量化</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资金预算</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预算编制匹配</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资金分配合理性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过程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（46分）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项目管理制度健全性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项目质量可控性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资金使用合规性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财务监督检查</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451"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指标性质</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度量单位</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权重</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未完成原因分析</w:t>
            </w:r>
          </w:p>
        </w:tc>
      </w:tr>
      <w:tr>
        <w:tblPrEx>
          <w:tblCellMar>
            <w:top w:w="0" w:type="dxa"/>
            <w:left w:w="0" w:type="dxa"/>
            <w:bottom w:w="0" w:type="dxa"/>
            <w:right w:w="0" w:type="dxa"/>
          </w:tblCellMar>
        </w:tblPrEx>
        <w:trPr>
          <w:trHeight w:val="424"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绩效指标（90分）</w:t>
            </w: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产出指标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数量指标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确保治蜀兴川论坛顺利进行</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81.12</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万元</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时效指标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12月31日</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效益指标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社会效益指标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确保治蜀兴川论坛顺利进行</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服务对象满意度指标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确保法学会工作顺利开展</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自评折算后总分(分值折算方式：“决策与过程指标”赋值100分按30%折算，“预算执行率和绩效指标”赋值100分按70%折算)：</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96.66</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评价结论</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根据该项目决策及过程管理、预算执行率及绩效目标实现程度指标自评得分96.66分，自评等次为：优。治蜀兴川论坛顺利进行</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存在问题</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部分参与单位开票时间滞后，造成支付滞后</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改进措施</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加快支付进度</w:t>
            </w:r>
          </w:p>
        </w:tc>
      </w:tr>
      <w:tr>
        <w:tblPrEx>
          <w:tblCellMar>
            <w:top w:w="0" w:type="dxa"/>
            <w:left w:w="0" w:type="dxa"/>
            <w:bottom w:w="0" w:type="dxa"/>
            <w:right w:w="0" w:type="dxa"/>
          </w:tblCellMar>
        </w:tblPrEx>
        <w:trPr>
          <w:trHeight w:val="425" w:hRule="atLeast"/>
        </w:trPr>
        <w:tc>
          <w:tcPr>
            <w:tcW w:w="7747"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项目负责人：赵姣</w:t>
            </w:r>
          </w:p>
        </w:tc>
        <w:tc>
          <w:tcPr>
            <w:tcW w:w="8163"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财务负责人：文颢源</w:t>
            </w:r>
          </w:p>
        </w:tc>
      </w:tr>
      <w:tr>
        <w:tblPrEx>
          <w:tblCellMar>
            <w:top w:w="0" w:type="dxa"/>
            <w:left w:w="0" w:type="dxa"/>
            <w:bottom w:w="0" w:type="dxa"/>
            <w:right w:w="0" w:type="dxa"/>
          </w:tblCellMar>
        </w:tblPrEx>
        <w:trPr>
          <w:trHeight w:val="425" w:hRule="atLeast"/>
        </w:trPr>
        <w:tc>
          <w:tcPr>
            <w:tcW w:w="944" w:type="dxa"/>
            <w:vAlign w:val="top"/>
          </w:tcPr>
          <w:p>
            <w:pPr>
              <w:spacing w:before="40" w:after="40"/>
              <w:ind w:left="40" w:right="40"/>
              <w:jc w:val="left"/>
              <w:rPr>
                <w:rFonts w:hint="eastAsia" w:ascii="Arial" w:hAnsi="Arial" w:eastAsia="Arial" w:cs="Arial"/>
                <w:color w:val="000000"/>
                <w:sz w:val="18"/>
              </w:rPr>
            </w:pPr>
          </w:p>
        </w:tc>
        <w:tc>
          <w:tcPr>
            <w:tcW w:w="2268" w:type="dxa"/>
            <w:vAlign w:val="top"/>
          </w:tcPr>
          <w:p>
            <w:pPr>
              <w:spacing w:before="40" w:after="40"/>
              <w:ind w:left="40" w:right="40"/>
              <w:jc w:val="left"/>
              <w:rPr>
                <w:rFonts w:hint="eastAsia" w:ascii="Arial" w:hAnsi="Arial" w:eastAsia="Arial" w:cs="Arial"/>
                <w:color w:val="000000"/>
                <w:sz w:val="18"/>
              </w:rPr>
            </w:pPr>
          </w:p>
        </w:tc>
        <w:tc>
          <w:tcPr>
            <w:tcW w:w="1587" w:type="dxa"/>
            <w:vAlign w:val="top"/>
          </w:tcPr>
          <w:p>
            <w:pPr>
              <w:spacing w:before="40" w:after="40"/>
              <w:ind w:left="40" w:right="40"/>
              <w:jc w:val="left"/>
              <w:rPr>
                <w:rFonts w:hint="eastAsia" w:ascii="Arial" w:hAnsi="Arial" w:eastAsia="Arial" w:cs="Arial"/>
                <w:color w:val="000000"/>
                <w:sz w:val="18"/>
              </w:rPr>
            </w:pPr>
          </w:p>
        </w:tc>
        <w:tc>
          <w:tcPr>
            <w:tcW w:w="2381"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1247"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2154" w:type="dxa"/>
            <w:vAlign w:val="top"/>
          </w:tcPr>
          <w:p>
            <w:pPr>
              <w:spacing w:before="40" w:after="40"/>
              <w:ind w:left="40" w:right="40"/>
              <w:jc w:val="left"/>
              <w:rPr>
                <w:rFonts w:hint="eastAsia" w:ascii="Arial" w:hAnsi="Arial" w:eastAsia="Arial" w:cs="Arial"/>
                <w:color w:val="000000"/>
                <w:sz w:val="18"/>
              </w:rPr>
            </w:pPr>
          </w:p>
        </w:tc>
        <w:tc>
          <w:tcPr>
            <w:tcW w:w="680" w:type="dxa"/>
            <w:vAlign w:val="top"/>
          </w:tcPr>
          <w:p>
            <w:pPr>
              <w:spacing w:before="40" w:after="40"/>
              <w:ind w:left="40" w:right="40"/>
              <w:jc w:val="left"/>
              <w:rPr>
                <w:rFonts w:hint="eastAsia" w:ascii="Arial" w:hAnsi="Arial" w:eastAsia="Arial" w:cs="Arial"/>
                <w:color w:val="000000"/>
                <w:sz w:val="18"/>
              </w:rPr>
            </w:pPr>
          </w:p>
        </w:tc>
        <w:tc>
          <w:tcPr>
            <w:tcW w:w="907" w:type="dxa"/>
            <w:vAlign w:val="top"/>
          </w:tcPr>
          <w:p>
            <w:pPr>
              <w:spacing w:before="40" w:after="40"/>
              <w:ind w:left="40" w:right="40"/>
              <w:jc w:val="left"/>
              <w:rPr>
                <w:rFonts w:hint="eastAsia" w:ascii="Arial" w:hAnsi="Arial" w:eastAsia="Arial" w:cs="Arial"/>
                <w:color w:val="000000"/>
                <w:sz w:val="18"/>
              </w:rPr>
            </w:pPr>
          </w:p>
        </w:tc>
        <w:tc>
          <w:tcPr>
            <w:tcW w:w="2608" w:type="dxa"/>
            <w:vAlign w:val="top"/>
          </w:tcPr>
          <w:p>
            <w:pPr>
              <w:spacing w:before="40" w:after="40"/>
              <w:ind w:left="40" w:right="40"/>
              <w:jc w:val="left"/>
              <w:rPr>
                <w:rFonts w:hint="eastAsia" w:ascii="Arial" w:hAnsi="Arial" w:eastAsia="Arial" w:cs="Arial"/>
                <w:color w:val="000000"/>
                <w:sz w:val="18"/>
              </w:rPr>
            </w:pPr>
          </w:p>
        </w:tc>
      </w:tr>
      <w:tr>
        <w:tblPrEx>
          <w:tblCellMar>
            <w:top w:w="0" w:type="dxa"/>
            <w:left w:w="0" w:type="dxa"/>
            <w:bottom w:w="0" w:type="dxa"/>
            <w:right w:w="0" w:type="dxa"/>
          </w:tblCellMar>
        </w:tblPrEx>
        <w:trPr>
          <w:trHeight w:val="907" w:hRule="atLeast"/>
        </w:trPr>
        <w:tc>
          <w:tcPr>
            <w:tcW w:w="15910" w:type="dxa"/>
            <w:gridSpan w:val="11"/>
            <w:vAlign w:val="center"/>
          </w:tcPr>
          <w:p>
            <w:pPr>
              <w:spacing w:before="40" w:after="40"/>
              <w:ind w:left="40" w:right="40"/>
              <w:jc w:val="center"/>
              <w:rPr>
                <w:rFonts w:hint="eastAsia" w:ascii="黑体" w:hAnsi="黑体" w:eastAsia="黑体" w:cs="黑体"/>
                <w:b/>
                <w:color w:val="000000"/>
                <w:sz w:val="32"/>
              </w:rPr>
            </w:pPr>
            <w:r>
              <w:rPr>
                <w:rFonts w:hint="eastAsia" w:ascii="黑体" w:hAnsi="黑体" w:eastAsia="黑体" w:cs="黑体"/>
                <w:b/>
                <w:color w:val="000000"/>
                <w:sz w:val="32"/>
              </w:rPr>
              <w:t>部门预算项目支出绩效自评表（2023年度）</w:t>
            </w:r>
          </w:p>
        </w:tc>
      </w:tr>
      <w:tr>
        <w:tblPrEx>
          <w:tblCellMar>
            <w:top w:w="0" w:type="dxa"/>
            <w:left w:w="0" w:type="dxa"/>
            <w:bottom w:w="0" w:type="dxa"/>
            <w:right w:w="0" w:type="dxa"/>
          </w:tblCellMar>
        </w:tblPrEx>
        <w:trPr>
          <w:trHeight w:val="424" w:hRule="atLeast"/>
        </w:trPr>
        <w:tc>
          <w:tcPr>
            <w:tcW w:w="9561" w:type="dxa"/>
            <w:gridSpan w:val="7"/>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单位(盖章)：中共绵阳市委政法委员会</w:t>
            </w:r>
          </w:p>
        </w:tc>
        <w:tc>
          <w:tcPr>
            <w:tcW w:w="2154" w:type="dxa"/>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填报日期：</w:t>
            </w:r>
          </w:p>
        </w:tc>
        <w:tc>
          <w:tcPr>
            <w:tcW w:w="4195" w:type="dxa"/>
            <w:gridSpan w:val="3"/>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2024年5月31日</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项目名称</w:t>
            </w:r>
          </w:p>
        </w:tc>
        <w:tc>
          <w:tcPr>
            <w:tcW w:w="12698" w:type="dxa"/>
            <w:gridSpan w:val="9"/>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法学会业务工作专项经费</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主管部门及代码</w:t>
            </w:r>
          </w:p>
        </w:tc>
        <w:tc>
          <w:tcPr>
            <w:tcW w:w="6349"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302-中共绵阳市委政法委员会本级部门</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实施单位</w:t>
            </w:r>
          </w:p>
        </w:tc>
        <w:tc>
          <w:tcPr>
            <w:tcW w:w="4195"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中共绵阳市委政法委员会</w:t>
            </w:r>
          </w:p>
        </w:tc>
      </w:tr>
      <w:tr>
        <w:tblPrEx>
          <w:tblCellMar>
            <w:top w:w="0" w:type="dxa"/>
            <w:left w:w="0" w:type="dxa"/>
            <w:bottom w:w="0" w:type="dxa"/>
            <w:right w:w="0" w:type="dxa"/>
          </w:tblCellMar>
        </w:tblPrEx>
        <w:trPr>
          <w:trHeight w:val="453"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项目资金使用情况（10分）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资金来源</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全年预算数</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调整后预算数</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全年执行数</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自评得分</w:t>
            </w:r>
          </w:p>
        </w:tc>
        <w:tc>
          <w:tcPr>
            <w:tcW w:w="3515"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年度资金总额（万元）</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37.89</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37.89</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3515" w:type="dxa"/>
            <w:gridSpan w:val="2"/>
            <w:vMerge w:val="restart"/>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预算执行率较低原因：； 预算调整(调增/调减)原因：追加法学会会议费</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其中：中央、省补助</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市级财政资金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37.89</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37.89</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县级财政资金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其他资金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年度总体目标</w:t>
            </w:r>
          </w:p>
        </w:tc>
        <w:tc>
          <w:tcPr>
            <w:tcW w:w="8617"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预期目标</w:t>
            </w:r>
          </w:p>
        </w:tc>
        <w:tc>
          <w:tcPr>
            <w:tcW w:w="6349" w:type="dxa"/>
            <w:gridSpan w:val="4"/>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实际完成情况</w:t>
            </w:r>
          </w:p>
        </w:tc>
      </w:tr>
      <w:tr>
        <w:tblPrEx>
          <w:tblCellMar>
            <w:top w:w="0" w:type="dxa"/>
            <w:left w:w="0" w:type="dxa"/>
            <w:bottom w:w="0" w:type="dxa"/>
            <w:right w:w="0" w:type="dxa"/>
          </w:tblCellMar>
        </w:tblPrEx>
        <w:trPr>
          <w:trHeight w:val="680"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8617" w:type="dxa"/>
            <w:gridSpan w:val="6"/>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根据中办《关于进一步加强法学会建设的意见》（厅字〔2020〕13号）、《中国法学会改革方案》（会字〔2017〕34号）和《四川省法学会关于深化全省基层法学会“实体化、实战化”建设的意见》（川政法〔2018〕26号）精神，法学会主要职责是：加强法学法律界思想政治引领、落实意识形态工作责任制、开展法治实践与法学理论研究、发挥法治智库作用为党委政府咨政建言、参与基层社会治理、开展法治宣传和法律服务、建设服务会员队伍、培养法治专门人才等。</w:t>
            </w:r>
          </w:p>
        </w:tc>
        <w:tc>
          <w:tcPr>
            <w:tcW w:w="6349" w:type="dxa"/>
            <w:gridSpan w:val="4"/>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根据中办《关于进一步加强法学会建设的意见》（厅字〔2020〕13号）、《中国法学会改革方案》（会字〔2017〕34号）和《四川省法学会关于深化全省基层法学会“实体化、实战化”建设的意见》（川政法〔2018〕26号）精神，法学会主要职责是：加强法学法律界思想政治引领、落实意识形态工作责任制、开展法治实践与法学理论研究、发挥法治智库作用为党委政府咨政建言、参与基层社会治理、开展法治宣传和法律服务、建设服务会员队伍、培养法治专门人才等。</w:t>
            </w: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决策与过程指标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（100分）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分值</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计算过程及得分依据</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（54分）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项目立项</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依据充分性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程序规范性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r>
      <w:tr>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目标设置</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绩效目标完整性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绩效指标细化量化</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资金预算</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预算编制匹配</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资金分配合理性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过程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（46分）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项目管理制度健全性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r>
      <w:tr>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项目质量可控性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资金使用合规性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r>
      <w:tr>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财务监督检查</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451"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指标性质</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度量单位</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权重</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未完成原因分析</w:t>
            </w:r>
          </w:p>
        </w:tc>
      </w:tr>
      <w:tr>
        <w:tblPrEx>
          <w:tblCellMar>
            <w:top w:w="0" w:type="dxa"/>
            <w:left w:w="0" w:type="dxa"/>
            <w:bottom w:w="0" w:type="dxa"/>
            <w:right w:w="0" w:type="dxa"/>
          </w:tblCellMar>
        </w:tblPrEx>
        <w:trPr>
          <w:trHeight w:val="424"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绩效指标（90分）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产出指标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时效指标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年底</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月</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40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40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效益指标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可持续发展指标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一年</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250000</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元/年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40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40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自评折算后总分(分值折算方式：“决策与过程指标”赋值100分按30%折算，“预算执行率和绩效指标”赋值100分按70%折算)：</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评价结论</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根据该项目决策及过程管理、预算执行率及绩效目标实现程度指标自评得分100.00分，自评等次为：优。根据中办《关于进一步加强法学会建设的意见》（厅字〔2020〕13号）、《中国法学会改革方案》（会字〔2017〕34号）和《四川省法学会关于深化全省基层法学会“实体化、实战化”建设的意见》（川政法〔2018〕26号）精神，法学会主要职责是：加强法学法律界思想政治引领、落实意识形态工作责任制、开展法治实践与法学理论研究、发挥法治智库作用为党委政府咨政建言、参与基层社会治理、开展法治宣传和法律服务、建设服务会员队伍、培养法治专门人才等。</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存在问题</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改进措施</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425" w:hRule="atLeast"/>
        </w:trPr>
        <w:tc>
          <w:tcPr>
            <w:tcW w:w="7747"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项目负责人：赵姣</w:t>
            </w:r>
          </w:p>
        </w:tc>
        <w:tc>
          <w:tcPr>
            <w:tcW w:w="8163"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财务负责人：文颢源</w:t>
            </w:r>
          </w:p>
        </w:tc>
      </w:tr>
      <w:tr>
        <w:tblPrEx>
          <w:tblCellMar>
            <w:top w:w="0" w:type="dxa"/>
            <w:left w:w="0" w:type="dxa"/>
            <w:bottom w:w="0" w:type="dxa"/>
            <w:right w:w="0" w:type="dxa"/>
          </w:tblCellMar>
        </w:tblPrEx>
        <w:trPr>
          <w:trHeight w:val="425" w:hRule="atLeast"/>
        </w:trPr>
        <w:tc>
          <w:tcPr>
            <w:tcW w:w="944" w:type="dxa"/>
            <w:vAlign w:val="top"/>
          </w:tcPr>
          <w:p>
            <w:pPr>
              <w:spacing w:before="40" w:after="40"/>
              <w:ind w:left="40" w:right="40"/>
              <w:jc w:val="left"/>
              <w:rPr>
                <w:rFonts w:hint="eastAsia" w:ascii="Arial" w:hAnsi="Arial" w:eastAsia="Arial" w:cs="Arial"/>
                <w:color w:val="000000"/>
                <w:sz w:val="18"/>
              </w:rPr>
            </w:pPr>
          </w:p>
        </w:tc>
        <w:tc>
          <w:tcPr>
            <w:tcW w:w="2268" w:type="dxa"/>
            <w:vAlign w:val="top"/>
          </w:tcPr>
          <w:p>
            <w:pPr>
              <w:spacing w:before="40" w:after="40"/>
              <w:ind w:left="40" w:right="40"/>
              <w:jc w:val="left"/>
              <w:rPr>
                <w:rFonts w:hint="eastAsia" w:ascii="Arial" w:hAnsi="Arial" w:eastAsia="Arial" w:cs="Arial"/>
                <w:color w:val="000000"/>
                <w:sz w:val="18"/>
              </w:rPr>
            </w:pPr>
          </w:p>
        </w:tc>
        <w:tc>
          <w:tcPr>
            <w:tcW w:w="1587" w:type="dxa"/>
            <w:vAlign w:val="top"/>
          </w:tcPr>
          <w:p>
            <w:pPr>
              <w:spacing w:before="40" w:after="40"/>
              <w:ind w:left="40" w:right="40"/>
              <w:jc w:val="left"/>
              <w:rPr>
                <w:rFonts w:hint="eastAsia" w:ascii="Arial" w:hAnsi="Arial" w:eastAsia="Arial" w:cs="Arial"/>
                <w:color w:val="000000"/>
                <w:sz w:val="18"/>
              </w:rPr>
            </w:pPr>
          </w:p>
        </w:tc>
        <w:tc>
          <w:tcPr>
            <w:tcW w:w="2381"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1247"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2154" w:type="dxa"/>
            <w:vAlign w:val="top"/>
          </w:tcPr>
          <w:p>
            <w:pPr>
              <w:spacing w:before="40" w:after="40"/>
              <w:ind w:left="40" w:right="40"/>
              <w:jc w:val="left"/>
              <w:rPr>
                <w:rFonts w:hint="eastAsia" w:ascii="Arial" w:hAnsi="Arial" w:eastAsia="Arial" w:cs="Arial"/>
                <w:color w:val="000000"/>
                <w:sz w:val="18"/>
              </w:rPr>
            </w:pPr>
          </w:p>
        </w:tc>
        <w:tc>
          <w:tcPr>
            <w:tcW w:w="680" w:type="dxa"/>
            <w:vAlign w:val="top"/>
          </w:tcPr>
          <w:p>
            <w:pPr>
              <w:spacing w:before="40" w:after="40"/>
              <w:ind w:left="40" w:right="40"/>
              <w:jc w:val="left"/>
              <w:rPr>
                <w:rFonts w:hint="eastAsia" w:ascii="Arial" w:hAnsi="Arial" w:eastAsia="Arial" w:cs="Arial"/>
                <w:color w:val="000000"/>
                <w:sz w:val="18"/>
              </w:rPr>
            </w:pPr>
          </w:p>
        </w:tc>
        <w:tc>
          <w:tcPr>
            <w:tcW w:w="907" w:type="dxa"/>
            <w:vAlign w:val="top"/>
          </w:tcPr>
          <w:p>
            <w:pPr>
              <w:spacing w:before="40" w:after="40"/>
              <w:ind w:left="40" w:right="40"/>
              <w:jc w:val="left"/>
              <w:rPr>
                <w:rFonts w:hint="eastAsia" w:ascii="Arial" w:hAnsi="Arial" w:eastAsia="Arial" w:cs="Arial"/>
                <w:color w:val="000000"/>
                <w:sz w:val="18"/>
              </w:rPr>
            </w:pPr>
          </w:p>
        </w:tc>
        <w:tc>
          <w:tcPr>
            <w:tcW w:w="2608" w:type="dxa"/>
            <w:vAlign w:val="top"/>
          </w:tcPr>
          <w:p>
            <w:pPr>
              <w:spacing w:before="40" w:after="40"/>
              <w:ind w:left="40" w:right="40"/>
              <w:jc w:val="left"/>
              <w:rPr>
                <w:rFonts w:hint="eastAsia" w:ascii="Arial" w:hAnsi="Arial" w:eastAsia="Arial" w:cs="Arial"/>
                <w:color w:val="000000"/>
                <w:sz w:val="18"/>
              </w:rPr>
            </w:pPr>
          </w:p>
        </w:tc>
      </w:tr>
      <w:tr>
        <w:tblPrEx>
          <w:tblCellMar>
            <w:top w:w="0" w:type="dxa"/>
            <w:left w:w="0" w:type="dxa"/>
            <w:bottom w:w="0" w:type="dxa"/>
            <w:right w:w="0" w:type="dxa"/>
          </w:tblCellMar>
        </w:tblPrEx>
        <w:trPr>
          <w:trHeight w:val="907" w:hRule="atLeast"/>
        </w:trPr>
        <w:tc>
          <w:tcPr>
            <w:tcW w:w="15910" w:type="dxa"/>
            <w:gridSpan w:val="11"/>
            <w:vAlign w:val="center"/>
          </w:tcPr>
          <w:p>
            <w:pPr>
              <w:spacing w:before="40" w:after="40"/>
              <w:ind w:left="40" w:right="40"/>
              <w:jc w:val="center"/>
              <w:rPr>
                <w:rFonts w:hint="eastAsia" w:ascii="黑体" w:hAnsi="黑体" w:eastAsia="黑体" w:cs="黑体"/>
                <w:b/>
                <w:color w:val="000000"/>
                <w:sz w:val="32"/>
              </w:rPr>
            </w:pPr>
            <w:r>
              <w:rPr>
                <w:rFonts w:hint="eastAsia" w:ascii="黑体" w:hAnsi="黑体" w:eastAsia="黑体" w:cs="黑体"/>
                <w:b/>
                <w:color w:val="000000"/>
                <w:sz w:val="32"/>
              </w:rPr>
              <w:t>部门预算项目支出绩效自评表（2023年度）</w:t>
            </w:r>
          </w:p>
        </w:tc>
      </w:tr>
      <w:tr>
        <w:tblPrEx>
          <w:tblCellMar>
            <w:top w:w="0" w:type="dxa"/>
            <w:left w:w="0" w:type="dxa"/>
            <w:bottom w:w="0" w:type="dxa"/>
            <w:right w:w="0" w:type="dxa"/>
          </w:tblCellMar>
        </w:tblPrEx>
        <w:trPr>
          <w:trHeight w:val="424" w:hRule="atLeast"/>
        </w:trPr>
        <w:tc>
          <w:tcPr>
            <w:tcW w:w="9561" w:type="dxa"/>
            <w:gridSpan w:val="7"/>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单位(盖章)：中共绵阳市委政法委员会</w:t>
            </w:r>
          </w:p>
        </w:tc>
        <w:tc>
          <w:tcPr>
            <w:tcW w:w="2154" w:type="dxa"/>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填报日期：</w:t>
            </w:r>
          </w:p>
        </w:tc>
        <w:tc>
          <w:tcPr>
            <w:tcW w:w="4195" w:type="dxa"/>
            <w:gridSpan w:val="3"/>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2024年6月3日</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项目名称</w:t>
            </w:r>
          </w:p>
        </w:tc>
        <w:tc>
          <w:tcPr>
            <w:tcW w:w="12698" w:type="dxa"/>
            <w:gridSpan w:val="9"/>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矛盾纠纷多元化解专项资金</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主管部门及代码</w:t>
            </w:r>
          </w:p>
        </w:tc>
        <w:tc>
          <w:tcPr>
            <w:tcW w:w="6349"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302-中共绵阳市委政法委员会本级部门</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实施单位</w:t>
            </w:r>
          </w:p>
        </w:tc>
        <w:tc>
          <w:tcPr>
            <w:tcW w:w="4195"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中共绵阳市委政法委员会</w:t>
            </w:r>
          </w:p>
        </w:tc>
      </w:tr>
      <w:tr>
        <w:tblPrEx>
          <w:tblCellMar>
            <w:top w:w="0" w:type="dxa"/>
            <w:left w:w="0" w:type="dxa"/>
            <w:bottom w:w="0" w:type="dxa"/>
            <w:right w:w="0" w:type="dxa"/>
          </w:tblCellMar>
        </w:tblPrEx>
        <w:trPr>
          <w:trHeight w:val="453"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项目资金使用情况（10分）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资金来源</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全年预算数</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调整后预算数</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全年执行数</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自评得分</w:t>
            </w:r>
          </w:p>
        </w:tc>
        <w:tc>
          <w:tcPr>
            <w:tcW w:w="3515"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年度资金总额（万元）</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3515" w:type="dxa"/>
            <w:gridSpan w:val="2"/>
            <w:vMerge w:val="restart"/>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预算执行率较低原因：； 预算调整(调增/调减)原因：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其中：中央、省补助</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市级财政资金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县级财政资金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其他资金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年度总体目标</w:t>
            </w:r>
          </w:p>
        </w:tc>
        <w:tc>
          <w:tcPr>
            <w:tcW w:w="8617"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预期目标</w:t>
            </w:r>
          </w:p>
        </w:tc>
        <w:tc>
          <w:tcPr>
            <w:tcW w:w="6349" w:type="dxa"/>
            <w:gridSpan w:val="4"/>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实际完成情况</w:t>
            </w:r>
          </w:p>
        </w:tc>
      </w:tr>
      <w:tr>
        <w:tblPrEx>
          <w:tblCellMar>
            <w:top w:w="0" w:type="dxa"/>
            <w:left w:w="0" w:type="dxa"/>
            <w:bottom w:w="0" w:type="dxa"/>
            <w:right w:w="0" w:type="dxa"/>
          </w:tblCellMar>
        </w:tblPrEx>
        <w:trPr>
          <w:trHeight w:val="680"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8617" w:type="dxa"/>
            <w:gridSpan w:val="6"/>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矛盾纠纷多元化解专项资金</w:t>
            </w:r>
          </w:p>
        </w:tc>
        <w:tc>
          <w:tcPr>
            <w:tcW w:w="6349" w:type="dxa"/>
            <w:gridSpan w:val="4"/>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矛盾纠纷多元化解专项资金</w:t>
            </w: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决策与过程指标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（100分）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分值</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计算过程及得分依据</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（54分）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项目立项</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依据充分性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程序规范性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目标设置</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绩效目标完整性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绩效指标细化量化</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资金预算</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预算编制匹配</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资金分配合理性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过程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（46分）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项目管理制度健全性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项目质量可控性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资金使用合规性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财务监督检查</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451"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指标性质</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度量单位</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权重</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未完成原因分析</w:t>
            </w:r>
          </w:p>
        </w:tc>
      </w:tr>
      <w:tr>
        <w:tblPrEx>
          <w:tblCellMar>
            <w:top w:w="0" w:type="dxa"/>
            <w:left w:w="0" w:type="dxa"/>
            <w:bottom w:w="0" w:type="dxa"/>
            <w:right w:w="0" w:type="dxa"/>
          </w:tblCellMar>
        </w:tblPrEx>
        <w:trPr>
          <w:trHeight w:val="424"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绩效指标（90分）</w:t>
            </w: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产出指标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数量指标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矛盾纠纷多元化解专项资金</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时效指标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12月31日</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效益指标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经济效益指标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矛盾纠纷多元化解专项资金</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服务对象满意度指标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矛盾纠纷多元化解专项资金</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自评折算后总分(分值折算方式：“决策与过程指标”赋值100分按30%折算，“预算执行率和绩效指标”赋值100分按70%折算)：</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评价结论</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根据该项目决策及过程管理、预算执行率及绩效目标实现程度指标自评得分100.00分，自评等次为：优。矛盾纠纷多元化解专项资金</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存在问题</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改进措施</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425" w:hRule="atLeast"/>
        </w:trPr>
        <w:tc>
          <w:tcPr>
            <w:tcW w:w="7747"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项目负责人：杨登勇</w:t>
            </w:r>
          </w:p>
        </w:tc>
        <w:tc>
          <w:tcPr>
            <w:tcW w:w="8163"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财务负责人：文颢源</w:t>
            </w:r>
          </w:p>
        </w:tc>
      </w:tr>
      <w:tr>
        <w:tblPrEx>
          <w:tblCellMar>
            <w:top w:w="0" w:type="dxa"/>
            <w:left w:w="0" w:type="dxa"/>
            <w:bottom w:w="0" w:type="dxa"/>
            <w:right w:w="0" w:type="dxa"/>
          </w:tblCellMar>
        </w:tblPrEx>
        <w:trPr>
          <w:trHeight w:val="425" w:hRule="atLeast"/>
        </w:trPr>
        <w:tc>
          <w:tcPr>
            <w:tcW w:w="944" w:type="dxa"/>
            <w:vAlign w:val="top"/>
          </w:tcPr>
          <w:p>
            <w:pPr>
              <w:spacing w:before="40" w:after="40"/>
              <w:ind w:left="40" w:right="40"/>
              <w:jc w:val="left"/>
              <w:rPr>
                <w:rFonts w:hint="eastAsia" w:ascii="Arial" w:hAnsi="Arial" w:eastAsia="Arial" w:cs="Arial"/>
                <w:color w:val="000000"/>
                <w:sz w:val="18"/>
              </w:rPr>
            </w:pPr>
          </w:p>
        </w:tc>
        <w:tc>
          <w:tcPr>
            <w:tcW w:w="2268" w:type="dxa"/>
            <w:vAlign w:val="top"/>
          </w:tcPr>
          <w:p>
            <w:pPr>
              <w:spacing w:before="40" w:after="40"/>
              <w:ind w:left="40" w:right="40"/>
              <w:jc w:val="left"/>
              <w:rPr>
                <w:rFonts w:hint="eastAsia" w:ascii="Arial" w:hAnsi="Arial" w:eastAsia="Arial" w:cs="Arial"/>
                <w:color w:val="000000"/>
                <w:sz w:val="18"/>
              </w:rPr>
            </w:pPr>
          </w:p>
        </w:tc>
        <w:tc>
          <w:tcPr>
            <w:tcW w:w="1587" w:type="dxa"/>
            <w:vAlign w:val="top"/>
          </w:tcPr>
          <w:p>
            <w:pPr>
              <w:spacing w:before="40" w:after="40"/>
              <w:ind w:left="40" w:right="40"/>
              <w:jc w:val="left"/>
              <w:rPr>
                <w:rFonts w:hint="eastAsia" w:ascii="Arial" w:hAnsi="Arial" w:eastAsia="Arial" w:cs="Arial"/>
                <w:color w:val="000000"/>
                <w:sz w:val="18"/>
              </w:rPr>
            </w:pPr>
          </w:p>
        </w:tc>
        <w:tc>
          <w:tcPr>
            <w:tcW w:w="2381"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1247"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2154" w:type="dxa"/>
            <w:vAlign w:val="top"/>
          </w:tcPr>
          <w:p>
            <w:pPr>
              <w:spacing w:before="40" w:after="40"/>
              <w:ind w:left="40" w:right="40"/>
              <w:jc w:val="left"/>
              <w:rPr>
                <w:rFonts w:hint="eastAsia" w:ascii="Arial" w:hAnsi="Arial" w:eastAsia="Arial" w:cs="Arial"/>
                <w:color w:val="000000"/>
                <w:sz w:val="18"/>
              </w:rPr>
            </w:pPr>
          </w:p>
        </w:tc>
        <w:tc>
          <w:tcPr>
            <w:tcW w:w="680" w:type="dxa"/>
            <w:vAlign w:val="top"/>
          </w:tcPr>
          <w:p>
            <w:pPr>
              <w:spacing w:before="40" w:after="40"/>
              <w:ind w:left="40" w:right="40"/>
              <w:jc w:val="left"/>
              <w:rPr>
                <w:rFonts w:hint="eastAsia" w:ascii="Arial" w:hAnsi="Arial" w:eastAsia="Arial" w:cs="Arial"/>
                <w:color w:val="000000"/>
                <w:sz w:val="18"/>
              </w:rPr>
            </w:pPr>
          </w:p>
        </w:tc>
        <w:tc>
          <w:tcPr>
            <w:tcW w:w="907" w:type="dxa"/>
            <w:vAlign w:val="top"/>
          </w:tcPr>
          <w:p>
            <w:pPr>
              <w:spacing w:before="40" w:after="40"/>
              <w:ind w:left="40" w:right="40"/>
              <w:jc w:val="left"/>
              <w:rPr>
                <w:rFonts w:hint="eastAsia" w:ascii="Arial" w:hAnsi="Arial" w:eastAsia="Arial" w:cs="Arial"/>
                <w:color w:val="000000"/>
                <w:sz w:val="18"/>
              </w:rPr>
            </w:pPr>
          </w:p>
        </w:tc>
        <w:tc>
          <w:tcPr>
            <w:tcW w:w="2608" w:type="dxa"/>
            <w:vAlign w:val="top"/>
          </w:tcPr>
          <w:p>
            <w:pPr>
              <w:spacing w:before="40" w:after="40"/>
              <w:ind w:left="40" w:right="40"/>
              <w:jc w:val="left"/>
              <w:rPr>
                <w:rFonts w:hint="eastAsia" w:ascii="Arial" w:hAnsi="Arial" w:eastAsia="Arial" w:cs="Arial"/>
                <w:color w:val="000000"/>
                <w:sz w:val="18"/>
              </w:rPr>
            </w:pPr>
          </w:p>
        </w:tc>
      </w:tr>
      <w:tr>
        <w:tblPrEx>
          <w:tblCellMar>
            <w:top w:w="0" w:type="dxa"/>
            <w:left w:w="0" w:type="dxa"/>
            <w:bottom w:w="0" w:type="dxa"/>
            <w:right w:w="0" w:type="dxa"/>
          </w:tblCellMar>
        </w:tblPrEx>
        <w:trPr>
          <w:trHeight w:val="907" w:hRule="atLeast"/>
        </w:trPr>
        <w:tc>
          <w:tcPr>
            <w:tcW w:w="15910" w:type="dxa"/>
            <w:gridSpan w:val="11"/>
            <w:vAlign w:val="center"/>
          </w:tcPr>
          <w:p>
            <w:pPr>
              <w:spacing w:before="40" w:after="40"/>
              <w:ind w:left="40" w:right="40"/>
              <w:jc w:val="center"/>
              <w:rPr>
                <w:rFonts w:hint="eastAsia" w:ascii="黑体" w:hAnsi="黑体" w:eastAsia="黑体" w:cs="黑体"/>
                <w:b/>
                <w:color w:val="000000"/>
                <w:sz w:val="32"/>
              </w:rPr>
            </w:pPr>
            <w:r>
              <w:rPr>
                <w:rFonts w:hint="eastAsia" w:ascii="黑体" w:hAnsi="黑体" w:eastAsia="黑体" w:cs="黑体"/>
                <w:b/>
                <w:color w:val="000000"/>
                <w:sz w:val="32"/>
              </w:rPr>
              <w:t>部门预算项目支出绩效自评表（2023年度）</w:t>
            </w:r>
          </w:p>
        </w:tc>
      </w:tr>
      <w:tr>
        <w:tblPrEx>
          <w:tblCellMar>
            <w:top w:w="0" w:type="dxa"/>
            <w:left w:w="0" w:type="dxa"/>
            <w:bottom w:w="0" w:type="dxa"/>
            <w:right w:w="0" w:type="dxa"/>
          </w:tblCellMar>
        </w:tblPrEx>
        <w:trPr>
          <w:trHeight w:val="424" w:hRule="atLeast"/>
        </w:trPr>
        <w:tc>
          <w:tcPr>
            <w:tcW w:w="9561" w:type="dxa"/>
            <w:gridSpan w:val="7"/>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单位(盖章)：中共绵阳市委政法委员会</w:t>
            </w:r>
          </w:p>
        </w:tc>
        <w:tc>
          <w:tcPr>
            <w:tcW w:w="2154" w:type="dxa"/>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填报日期：</w:t>
            </w:r>
          </w:p>
        </w:tc>
        <w:tc>
          <w:tcPr>
            <w:tcW w:w="4195" w:type="dxa"/>
            <w:gridSpan w:val="3"/>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2024年5月31日</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项目名称</w:t>
            </w:r>
          </w:p>
        </w:tc>
        <w:tc>
          <w:tcPr>
            <w:tcW w:w="12698" w:type="dxa"/>
            <w:gridSpan w:val="9"/>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社会心理服务体系建设试点工作</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主管部门及代码</w:t>
            </w:r>
          </w:p>
        </w:tc>
        <w:tc>
          <w:tcPr>
            <w:tcW w:w="6349"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302-中共绵阳市委政法委员会本级部门</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实施单位</w:t>
            </w:r>
          </w:p>
        </w:tc>
        <w:tc>
          <w:tcPr>
            <w:tcW w:w="4195"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中共绵阳市委政法委员会</w:t>
            </w:r>
          </w:p>
        </w:tc>
      </w:tr>
      <w:tr>
        <w:tblPrEx>
          <w:tblCellMar>
            <w:top w:w="0" w:type="dxa"/>
            <w:left w:w="0" w:type="dxa"/>
            <w:bottom w:w="0" w:type="dxa"/>
            <w:right w:w="0" w:type="dxa"/>
          </w:tblCellMar>
        </w:tblPrEx>
        <w:trPr>
          <w:trHeight w:val="453"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项目资金使用情况（10分）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资金来源</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全年预算数</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调整后预算数</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全年执行数</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自评得分</w:t>
            </w:r>
          </w:p>
        </w:tc>
        <w:tc>
          <w:tcPr>
            <w:tcW w:w="3515"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年度资金总额（万元）</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3515" w:type="dxa"/>
            <w:gridSpan w:val="2"/>
            <w:vMerge w:val="restart"/>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预算执行率较低原因：； 预算调整(调增/调减)原因：社会心理服务体系建设试点工作</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其中：中央、省补助</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市级财政资金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县级财政资金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其他资金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年度总体目标</w:t>
            </w:r>
          </w:p>
        </w:tc>
        <w:tc>
          <w:tcPr>
            <w:tcW w:w="8617"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预期目标</w:t>
            </w:r>
          </w:p>
        </w:tc>
        <w:tc>
          <w:tcPr>
            <w:tcW w:w="6349" w:type="dxa"/>
            <w:gridSpan w:val="4"/>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实际完成情况</w:t>
            </w:r>
          </w:p>
        </w:tc>
      </w:tr>
      <w:tr>
        <w:tblPrEx>
          <w:tblCellMar>
            <w:top w:w="0" w:type="dxa"/>
            <w:left w:w="0" w:type="dxa"/>
            <w:bottom w:w="0" w:type="dxa"/>
            <w:right w:w="0" w:type="dxa"/>
          </w:tblCellMar>
        </w:tblPrEx>
        <w:trPr>
          <w:trHeight w:val="680"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8617" w:type="dxa"/>
            <w:gridSpan w:val="6"/>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社会心理服务体系建设试点工作</w:t>
            </w:r>
          </w:p>
        </w:tc>
        <w:tc>
          <w:tcPr>
            <w:tcW w:w="6349" w:type="dxa"/>
            <w:gridSpan w:val="4"/>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社会心理服务体系建设试点工作</w:t>
            </w: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决策与过程指标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（100分）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分值</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计算过程及得分依据</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（54分）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项目立项</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依据充分性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程序规范性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目标设置</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绩效目标完整性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绩效指标细化量化</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资金预算</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预算编制匹配</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资金分配合理性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过程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（46分）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项目管理制度健全性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项目质量可控性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资金使用合规性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财务监督检查</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451"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指标性质</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度量单位</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权重</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未完成原因分析</w:t>
            </w:r>
          </w:p>
        </w:tc>
      </w:tr>
      <w:tr>
        <w:tblPrEx>
          <w:tblCellMar>
            <w:top w:w="0" w:type="dxa"/>
            <w:left w:w="0" w:type="dxa"/>
            <w:bottom w:w="0" w:type="dxa"/>
            <w:right w:w="0" w:type="dxa"/>
          </w:tblCellMar>
        </w:tblPrEx>
        <w:trPr>
          <w:trHeight w:val="424"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绩效指标（90分）</w:t>
            </w: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产出指标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数量指标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社会心理服务体系建设宣传、工作督导</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万元</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时效指标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12月31日</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效益指标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社会效益指标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社会心理服务体系建设宣传、工作督导</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服务对象满意度指标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社会心理服务体系建设宣传、工作督导</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自评折算后总分(分值折算方式：“决策与过程指标”赋值100分按30%折算，“预算执行率和绩效指标”赋值100分按70%折算)：</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评价结论</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根据该项目决策及过程管理、预算执行率及绩效目标实现程度指标自评得分100.00分，自评等次为：优。社会心理服务体系建设试点工作</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存在问题</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改进措施</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425" w:hRule="atLeast"/>
        </w:trPr>
        <w:tc>
          <w:tcPr>
            <w:tcW w:w="7747"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项目负责人：陈全</w:t>
            </w:r>
          </w:p>
        </w:tc>
        <w:tc>
          <w:tcPr>
            <w:tcW w:w="8163"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财务负责人：文颢源</w:t>
            </w:r>
          </w:p>
        </w:tc>
      </w:tr>
      <w:tr>
        <w:tblPrEx>
          <w:tblCellMar>
            <w:top w:w="0" w:type="dxa"/>
            <w:left w:w="0" w:type="dxa"/>
            <w:bottom w:w="0" w:type="dxa"/>
            <w:right w:w="0" w:type="dxa"/>
          </w:tblCellMar>
        </w:tblPrEx>
        <w:trPr>
          <w:trHeight w:val="425" w:hRule="atLeast"/>
        </w:trPr>
        <w:tc>
          <w:tcPr>
            <w:tcW w:w="944" w:type="dxa"/>
            <w:vAlign w:val="top"/>
          </w:tcPr>
          <w:p>
            <w:pPr>
              <w:spacing w:before="40" w:after="40"/>
              <w:ind w:left="40" w:right="40"/>
              <w:jc w:val="left"/>
              <w:rPr>
                <w:rFonts w:hint="eastAsia" w:ascii="Arial" w:hAnsi="Arial" w:eastAsia="Arial" w:cs="Arial"/>
                <w:color w:val="000000"/>
                <w:sz w:val="18"/>
              </w:rPr>
            </w:pPr>
          </w:p>
        </w:tc>
        <w:tc>
          <w:tcPr>
            <w:tcW w:w="2268" w:type="dxa"/>
            <w:vAlign w:val="top"/>
          </w:tcPr>
          <w:p>
            <w:pPr>
              <w:spacing w:before="40" w:after="40"/>
              <w:ind w:left="40" w:right="40"/>
              <w:jc w:val="left"/>
              <w:rPr>
                <w:rFonts w:hint="eastAsia" w:ascii="Arial" w:hAnsi="Arial" w:eastAsia="Arial" w:cs="Arial"/>
                <w:color w:val="000000"/>
                <w:sz w:val="18"/>
              </w:rPr>
            </w:pPr>
          </w:p>
        </w:tc>
        <w:tc>
          <w:tcPr>
            <w:tcW w:w="1587" w:type="dxa"/>
            <w:vAlign w:val="top"/>
          </w:tcPr>
          <w:p>
            <w:pPr>
              <w:spacing w:before="40" w:after="40"/>
              <w:ind w:left="40" w:right="40"/>
              <w:jc w:val="left"/>
              <w:rPr>
                <w:rFonts w:hint="eastAsia" w:ascii="Arial" w:hAnsi="Arial" w:eastAsia="Arial" w:cs="Arial"/>
                <w:color w:val="000000"/>
                <w:sz w:val="18"/>
              </w:rPr>
            </w:pPr>
          </w:p>
        </w:tc>
        <w:tc>
          <w:tcPr>
            <w:tcW w:w="2381"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1247"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2154" w:type="dxa"/>
            <w:vAlign w:val="top"/>
          </w:tcPr>
          <w:p>
            <w:pPr>
              <w:spacing w:before="40" w:after="40"/>
              <w:ind w:left="40" w:right="40"/>
              <w:jc w:val="left"/>
              <w:rPr>
                <w:rFonts w:hint="eastAsia" w:ascii="Arial" w:hAnsi="Arial" w:eastAsia="Arial" w:cs="Arial"/>
                <w:color w:val="000000"/>
                <w:sz w:val="18"/>
              </w:rPr>
            </w:pPr>
          </w:p>
        </w:tc>
        <w:tc>
          <w:tcPr>
            <w:tcW w:w="680" w:type="dxa"/>
            <w:vAlign w:val="top"/>
          </w:tcPr>
          <w:p>
            <w:pPr>
              <w:spacing w:before="40" w:after="40"/>
              <w:ind w:left="40" w:right="40"/>
              <w:jc w:val="left"/>
              <w:rPr>
                <w:rFonts w:hint="eastAsia" w:ascii="Arial" w:hAnsi="Arial" w:eastAsia="Arial" w:cs="Arial"/>
                <w:color w:val="000000"/>
                <w:sz w:val="18"/>
              </w:rPr>
            </w:pPr>
          </w:p>
        </w:tc>
        <w:tc>
          <w:tcPr>
            <w:tcW w:w="907" w:type="dxa"/>
            <w:vAlign w:val="top"/>
          </w:tcPr>
          <w:p>
            <w:pPr>
              <w:spacing w:before="40" w:after="40"/>
              <w:ind w:left="40" w:right="40"/>
              <w:jc w:val="left"/>
              <w:rPr>
                <w:rFonts w:hint="eastAsia" w:ascii="Arial" w:hAnsi="Arial" w:eastAsia="Arial" w:cs="Arial"/>
                <w:color w:val="000000"/>
                <w:sz w:val="18"/>
              </w:rPr>
            </w:pPr>
          </w:p>
        </w:tc>
        <w:tc>
          <w:tcPr>
            <w:tcW w:w="2608" w:type="dxa"/>
            <w:vAlign w:val="top"/>
          </w:tcPr>
          <w:p>
            <w:pPr>
              <w:spacing w:before="40" w:after="40"/>
              <w:ind w:left="40" w:right="40"/>
              <w:jc w:val="left"/>
              <w:rPr>
                <w:rFonts w:hint="eastAsia" w:ascii="Arial" w:hAnsi="Arial" w:eastAsia="Arial" w:cs="Arial"/>
                <w:color w:val="000000"/>
                <w:sz w:val="18"/>
              </w:rPr>
            </w:pPr>
          </w:p>
        </w:tc>
      </w:tr>
      <w:tr>
        <w:tblPrEx>
          <w:tblCellMar>
            <w:top w:w="0" w:type="dxa"/>
            <w:left w:w="0" w:type="dxa"/>
            <w:bottom w:w="0" w:type="dxa"/>
            <w:right w:w="0" w:type="dxa"/>
          </w:tblCellMar>
        </w:tblPrEx>
        <w:trPr>
          <w:trHeight w:val="907" w:hRule="atLeast"/>
        </w:trPr>
        <w:tc>
          <w:tcPr>
            <w:tcW w:w="15910" w:type="dxa"/>
            <w:gridSpan w:val="11"/>
            <w:vAlign w:val="center"/>
          </w:tcPr>
          <w:p>
            <w:pPr>
              <w:spacing w:before="40" w:after="40"/>
              <w:ind w:left="40" w:right="40"/>
              <w:jc w:val="center"/>
              <w:rPr>
                <w:rFonts w:hint="eastAsia" w:ascii="黑体" w:hAnsi="黑体" w:eastAsia="黑体" w:cs="黑体"/>
                <w:b/>
                <w:color w:val="000000"/>
                <w:sz w:val="32"/>
              </w:rPr>
            </w:pPr>
            <w:r>
              <w:rPr>
                <w:rFonts w:hint="eastAsia" w:ascii="黑体" w:hAnsi="黑体" w:eastAsia="黑体" w:cs="黑体"/>
                <w:b/>
                <w:color w:val="000000"/>
                <w:sz w:val="32"/>
              </w:rPr>
              <w:t>部门预算项目支出绩效自评表（2023年度）</w:t>
            </w:r>
          </w:p>
        </w:tc>
      </w:tr>
      <w:tr>
        <w:tblPrEx>
          <w:tblCellMar>
            <w:top w:w="0" w:type="dxa"/>
            <w:left w:w="0" w:type="dxa"/>
            <w:bottom w:w="0" w:type="dxa"/>
            <w:right w:w="0" w:type="dxa"/>
          </w:tblCellMar>
        </w:tblPrEx>
        <w:trPr>
          <w:trHeight w:val="424" w:hRule="atLeast"/>
        </w:trPr>
        <w:tc>
          <w:tcPr>
            <w:tcW w:w="9561" w:type="dxa"/>
            <w:gridSpan w:val="7"/>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单位(盖章)：中共绵阳市委政法委员会</w:t>
            </w:r>
          </w:p>
        </w:tc>
        <w:tc>
          <w:tcPr>
            <w:tcW w:w="2154" w:type="dxa"/>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填报日期：</w:t>
            </w:r>
          </w:p>
        </w:tc>
        <w:tc>
          <w:tcPr>
            <w:tcW w:w="4195" w:type="dxa"/>
            <w:gridSpan w:val="3"/>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2024年5月31日</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项目名称</w:t>
            </w:r>
          </w:p>
        </w:tc>
        <w:tc>
          <w:tcPr>
            <w:tcW w:w="12698" w:type="dxa"/>
            <w:gridSpan w:val="9"/>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社会治安综合治理专项经费</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主管部门及代码</w:t>
            </w:r>
          </w:p>
        </w:tc>
        <w:tc>
          <w:tcPr>
            <w:tcW w:w="6349"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302-中共绵阳市委政法委员会本级部门</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实施单位</w:t>
            </w:r>
          </w:p>
        </w:tc>
        <w:tc>
          <w:tcPr>
            <w:tcW w:w="4195"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中共绵阳市委政法委员会</w:t>
            </w:r>
          </w:p>
        </w:tc>
      </w:tr>
      <w:tr>
        <w:tblPrEx>
          <w:tblCellMar>
            <w:top w:w="0" w:type="dxa"/>
            <w:left w:w="0" w:type="dxa"/>
            <w:bottom w:w="0" w:type="dxa"/>
            <w:right w:w="0" w:type="dxa"/>
          </w:tblCellMar>
        </w:tblPrEx>
        <w:trPr>
          <w:trHeight w:val="453"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项目资金使用情况（10分）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资金来源</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全年预算数</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调整后预算数</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全年执行数</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自评得分</w:t>
            </w:r>
          </w:p>
        </w:tc>
        <w:tc>
          <w:tcPr>
            <w:tcW w:w="3515"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年度资金总额（万元）</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65.35</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65.35</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65.35</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3515" w:type="dxa"/>
            <w:gridSpan w:val="2"/>
            <w:vMerge w:val="restart"/>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预算执行率较低原因：； 预算调整(调增/调减)原因：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其中：中央、省补助</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市级财政资金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65.35</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65.35</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65.35</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县级财政资金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其他资金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年度总体目标</w:t>
            </w:r>
          </w:p>
        </w:tc>
        <w:tc>
          <w:tcPr>
            <w:tcW w:w="8617"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预期目标</w:t>
            </w:r>
          </w:p>
        </w:tc>
        <w:tc>
          <w:tcPr>
            <w:tcW w:w="6349" w:type="dxa"/>
            <w:gridSpan w:val="4"/>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实际完成情况</w:t>
            </w:r>
          </w:p>
        </w:tc>
      </w:tr>
      <w:tr>
        <w:tblPrEx>
          <w:tblCellMar>
            <w:top w:w="0" w:type="dxa"/>
            <w:left w:w="0" w:type="dxa"/>
            <w:bottom w:w="0" w:type="dxa"/>
            <w:right w:w="0" w:type="dxa"/>
          </w:tblCellMar>
        </w:tblPrEx>
        <w:trPr>
          <w:trHeight w:val="680"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8617" w:type="dxa"/>
            <w:gridSpan w:val="6"/>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群众安全感显著提升，社会和谐稳定，不发生各种重（特）大公共安全事件、刑事案件、群体性事件。</w:t>
            </w:r>
          </w:p>
        </w:tc>
        <w:tc>
          <w:tcPr>
            <w:tcW w:w="6349" w:type="dxa"/>
            <w:gridSpan w:val="4"/>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群众安全感显著提升，社会和谐稳定，不发生各种重（特）大公共安全事件、刑事案件、群体性事件。</w:t>
            </w: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决策与过程指标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（100分）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分值</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计算过程及得分依据</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（54分）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项目立项</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依据充分性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程序规范性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目标设置</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绩效目标完整性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绩效指标细化量化</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资金预算</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预算编制匹配</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r>
      <w:tr>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资金分配合理性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过程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（46分）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项目管理制度健全性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项目质量可控性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资金使用合规性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财务监督检查</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451"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指标性质</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度量单位</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权重</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未完成原因分析</w:t>
            </w:r>
          </w:p>
        </w:tc>
      </w:tr>
      <w:tr>
        <w:tblPrEx>
          <w:tblCellMar>
            <w:top w:w="0" w:type="dxa"/>
            <w:left w:w="0" w:type="dxa"/>
            <w:bottom w:w="0" w:type="dxa"/>
            <w:right w:w="0" w:type="dxa"/>
          </w:tblCellMar>
        </w:tblPrEx>
        <w:trPr>
          <w:trHeight w:val="424"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绩效指标（90分）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产出指标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时效指标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2023年12月31日前完成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40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40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效益指标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社会效益指标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群众安全感显著提升，社会和谐稳定，不发生各种重（特）大公共安全事件、刑事案件、群体性事件。</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群众安全感显著提升，社会和谐稳定，不发生各种重（特）大公共安全事件、刑事案件、群体性事件。</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40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40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群众安全感显著提升，社会和谐稳定，不发生各种重（特）大公共安全事件、刑事案件、群体性事件。</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优</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自评折算后总分(分值折算方式：“决策与过程指标”赋值100分按30%折算，“预算执行率和绩效指标”赋值100分按70%折算)：</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评价结论</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根据该项目决策及过程管理、预算执行率及绩效目标实现程度指标自评得分100.00分，自评等次为：优。群众安全感显著提升，社会和谐稳定，不发生各种重（特）大公共安全事件、刑事案件、群体性事件。</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存在问题</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改进措施</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425" w:hRule="atLeast"/>
        </w:trPr>
        <w:tc>
          <w:tcPr>
            <w:tcW w:w="7747"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项目负责人：陈全</w:t>
            </w:r>
          </w:p>
        </w:tc>
        <w:tc>
          <w:tcPr>
            <w:tcW w:w="8163"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财务负责人：文颢源</w:t>
            </w:r>
          </w:p>
        </w:tc>
      </w:tr>
      <w:tr>
        <w:tblPrEx>
          <w:tblCellMar>
            <w:top w:w="0" w:type="dxa"/>
            <w:left w:w="0" w:type="dxa"/>
            <w:bottom w:w="0" w:type="dxa"/>
            <w:right w:w="0" w:type="dxa"/>
          </w:tblCellMar>
        </w:tblPrEx>
        <w:trPr>
          <w:trHeight w:val="425" w:hRule="atLeast"/>
        </w:trPr>
        <w:tc>
          <w:tcPr>
            <w:tcW w:w="944" w:type="dxa"/>
            <w:vAlign w:val="top"/>
          </w:tcPr>
          <w:p>
            <w:pPr>
              <w:spacing w:before="40" w:after="40"/>
              <w:ind w:left="40" w:right="40"/>
              <w:jc w:val="left"/>
              <w:rPr>
                <w:rFonts w:hint="eastAsia" w:ascii="Arial" w:hAnsi="Arial" w:eastAsia="Arial" w:cs="Arial"/>
                <w:color w:val="000000"/>
                <w:sz w:val="18"/>
              </w:rPr>
            </w:pPr>
          </w:p>
        </w:tc>
        <w:tc>
          <w:tcPr>
            <w:tcW w:w="2268" w:type="dxa"/>
            <w:vAlign w:val="top"/>
          </w:tcPr>
          <w:p>
            <w:pPr>
              <w:spacing w:before="40" w:after="40"/>
              <w:ind w:left="40" w:right="40"/>
              <w:jc w:val="left"/>
              <w:rPr>
                <w:rFonts w:hint="eastAsia" w:ascii="Arial" w:hAnsi="Arial" w:eastAsia="Arial" w:cs="Arial"/>
                <w:color w:val="000000"/>
                <w:sz w:val="18"/>
              </w:rPr>
            </w:pPr>
          </w:p>
        </w:tc>
        <w:tc>
          <w:tcPr>
            <w:tcW w:w="1587" w:type="dxa"/>
            <w:vAlign w:val="top"/>
          </w:tcPr>
          <w:p>
            <w:pPr>
              <w:spacing w:before="40" w:after="40"/>
              <w:ind w:left="40" w:right="40"/>
              <w:jc w:val="left"/>
              <w:rPr>
                <w:rFonts w:hint="eastAsia" w:ascii="Arial" w:hAnsi="Arial" w:eastAsia="Arial" w:cs="Arial"/>
                <w:color w:val="000000"/>
                <w:sz w:val="18"/>
              </w:rPr>
            </w:pPr>
          </w:p>
        </w:tc>
        <w:tc>
          <w:tcPr>
            <w:tcW w:w="2381"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1247"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2154" w:type="dxa"/>
            <w:vAlign w:val="top"/>
          </w:tcPr>
          <w:p>
            <w:pPr>
              <w:spacing w:before="40" w:after="40"/>
              <w:ind w:left="40" w:right="40"/>
              <w:jc w:val="left"/>
              <w:rPr>
                <w:rFonts w:hint="eastAsia" w:ascii="Arial" w:hAnsi="Arial" w:eastAsia="Arial" w:cs="Arial"/>
                <w:color w:val="000000"/>
                <w:sz w:val="18"/>
              </w:rPr>
            </w:pPr>
          </w:p>
        </w:tc>
        <w:tc>
          <w:tcPr>
            <w:tcW w:w="680" w:type="dxa"/>
            <w:vAlign w:val="top"/>
          </w:tcPr>
          <w:p>
            <w:pPr>
              <w:spacing w:before="40" w:after="40"/>
              <w:ind w:left="40" w:right="40"/>
              <w:jc w:val="left"/>
              <w:rPr>
                <w:rFonts w:hint="eastAsia" w:ascii="Arial" w:hAnsi="Arial" w:eastAsia="Arial" w:cs="Arial"/>
                <w:color w:val="000000"/>
                <w:sz w:val="18"/>
              </w:rPr>
            </w:pPr>
          </w:p>
        </w:tc>
        <w:tc>
          <w:tcPr>
            <w:tcW w:w="907" w:type="dxa"/>
            <w:vAlign w:val="top"/>
          </w:tcPr>
          <w:p>
            <w:pPr>
              <w:spacing w:before="40" w:after="40"/>
              <w:ind w:left="40" w:right="40"/>
              <w:jc w:val="left"/>
              <w:rPr>
                <w:rFonts w:hint="eastAsia" w:ascii="Arial" w:hAnsi="Arial" w:eastAsia="Arial" w:cs="Arial"/>
                <w:color w:val="000000"/>
                <w:sz w:val="18"/>
              </w:rPr>
            </w:pPr>
          </w:p>
        </w:tc>
        <w:tc>
          <w:tcPr>
            <w:tcW w:w="2608" w:type="dxa"/>
            <w:vAlign w:val="top"/>
          </w:tcPr>
          <w:p>
            <w:pPr>
              <w:spacing w:before="40" w:after="40"/>
              <w:ind w:left="40" w:right="40"/>
              <w:jc w:val="left"/>
              <w:rPr>
                <w:rFonts w:hint="eastAsia" w:ascii="Arial" w:hAnsi="Arial" w:eastAsia="Arial" w:cs="Arial"/>
                <w:color w:val="000000"/>
                <w:sz w:val="18"/>
              </w:rPr>
            </w:pPr>
          </w:p>
        </w:tc>
      </w:tr>
      <w:tr>
        <w:tblPrEx>
          <w:tblCellMar>
            <w:top w:w="0" w:type="dxa"/>
            <w:left w:w="0" w:type="dxa"/>
            <w:bottom w:w="0" w:type="dxa"/>
            <w:right w:w="0" w:type="dxa"/>
          </w:tblCellMar>
        </w:tblPrEx>
        <w:trPr>
          <w:trHeight w:val="907" w:hRule="atLeast"/>
        </w:trPr>
        <w:tc>
          <w:tcPr>
            <w:tcW w:w="15910" w:type="dxa"/>
            <w:gridSpan w:val="11"/>
            <w:vAlign w:val="center"/>
          </w:tcPr>
          <w:p>
            <w:pPr>
              <w:spacing w:before="40" w:after="40"/>
              <w:ind w:left="40" w:right="40"/>
              <w:jc w:val="center"/>
              <w:rPr>
                <w:rFonts w:hint="eastAsia" w:ascii="黑体" w:hAnsi="黑体" w:eastAsia="黑体" w:cs="黑体"/>
                <w:b/>
                <w:color w:val="000000"/>
                <w:sz w:val="32"/>
              </w:rPr>
            </w:pPr>
            <w:r>
              <w:rPr>
                <w:rFonts w:hint="eastAsia" w:ascii="黑体" w:hAnsi="黑体" w:eastAsia="黑体" w:cs="黑体"/>
                <w:b/>
                <w:color w:val="000000"/>
                <w:sz w:val="32"/>
              </w:rPr>
              <w:t>部门预算项目支出绩效自评表（2023年度）</w:t>
            </w:r>
          </w:p>
        </w:tc>
      </w:tr>
      <w:tr>
        <w:tblPrEx>
          <w:tblCellMar>
            <w:top w:w="0" w:type="dxa"/>
            <w:left w:w="0" w:type="dxa"/>
            <w:bottom w:w="0" w:type="dxa"/>
            <w:right w:w="0" w:type="dxa"/>
          </w:tblCellMar>
        </w:tblPrEx>
        <w:trPr>
          <w:trHeight w:val="424" w:hRule="atLeast"/>
        </w:trPr>
        <w:tc>
          <w:tcPr>
            <w:tcW w:w="9561" w:type="dxa"/>
            <w:gridSpan w:val="7"/>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单位(盖章)：中共绵阳市委政法委员会</w:t>
            </w:r>
          </w:p>
        </w:tc>
        <w:tc>
          <w:tcPr>
            <w:tcW w:w="2154" w:type="dxa"/>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填报日期：</w:t>
            </w:r>
          </w:p>
        </w:tc>
        <w:tc>
          <w:tcPr>
            <w:tcW w:w="4195" w:type="dxa"/>
            <w:gridSpan w:val="3"/>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2024年5月31日</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项目名称</w:t>
            </w:r>
          </w:p>
        </w:tc>
        <w:tc>
          <w:tcPr>
            <w:tcW w:w="12698" w:type="dxa"/>
            <w:gridSpan w:val="9"/>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社会治理中心专项经费</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主管部门及代码</w:t>
            </w:r>
          </w:p>
        </w:tc>
        <w:tc>
          <w:tcPr>
            <w:tcW w:w="6349"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302-中共绵阳市委政法委员会本级部门</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实施单位</w:t>
            </w:r>
          </w:p>
        </w:tc>
        <w:tc>
          <w:tcPr>
            <w:tcW w:w="4195"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中共绵阳市委政法委员会</w:t>
            </w:r>
          </w:p>
        </w:tc>
      </w:tr>
      <w:tr>
        <w:tblPrEx>
          <w:tblCellMar>
            <w:top w:w="0" w:type="dxa"/>
            <w:left w:w="0" w:type="dxa"/>
            <w:bottom w:w="0" w:type="dxa"/>
            <w:right w:w="0" w:type="dxa"/>
          </w:tblCellMar>
        </w:tblPrEx>
        <w:trPr>
          <w:trHeight w:val="453"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项目资金使用情况（10分）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资金来源</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全年预算数</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调整后预算数</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全年执行数</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自评得分</w:t>
            </w:r>
          </w:p>
        </w:tc>
        <w:tc>
          <w:tcPr>
            <w:tcW w:w="3515"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年度资金总额（万元）</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3515" w:type="dxa"/>
            <w:gridSpan w:val="2"/>
            <w:vMerge w:val="restart"/>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预算执行率较低原因：； 预算调整(调增/调减)原因：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其中：中央、省补助</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市级财政资金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县级财政资金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其他资金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年度总体目标</w:t>
            </w:r>
          </w:p>
        </w:tc>
        <w:tc>
          <w:tcPr>
            <w:tcW w:w="8617"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预期目标</w:t>
            </w:r>
          </w:p>
        </w:tc>
        <w:tc>
          <w:tcPr>
            <w:tcW w:w="6349" w:type="dxa"/>
            <w:gridSpan w:val="4"/>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实际完成情况</w:t>
            </w:r>
          </w:p>
        </w:tc>
      </w:tr>
      <w:tr>
        <w:tblPrEx>
          <w:tblCellMar>
            <w:top w:w="0" w:type="dxa"/>
            <w:left w:w="0" w:type="dxa"/>
            <w:bottom w:w="0" w:type="dxa"/>
            <w:right w:w="0" w:type="dxa"/>
          </w:tblCellMar>
        </w:tblPrEx>
        <w:trPr>
          <w:trHeight w:val="680"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8617" w:type="dxa"/>
            <w:gridSpan w:val="6"/>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按照中央、省委、市委有关文件精神，全面推进市县乡村四级综治中心规范化建设，提高信息整合度，加强市级部门间信息共享，完善指挥调度体系，为绵阳市社会治理提供决策依据，为建设更高水平的平安绵阳，加快建设中国科技城，全力打造成渝副中心作出新贡献。</w:t>
            </w:r>
          </w:p>
        </w:tc>
        <w:tc>
          <w:tcPr>
            <w:tcW w:w="6349" w:type="dxa"/>
            <w:gridSpan w:val="4"/>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按照中央、省委、市委有关文件精神，全面推进市县乡村四级综治中心规范化建设，提高信息整合度，加强市级部门间信息共享，完善指挥调度体系，为绵阳市社会治理提供决策依据，为建设更高水平的平安绵阳，加快建设中国科技城，全力打造成渝副中心作出新贡献。</w:t>
            </w: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决策与过程指标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（100分）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分值</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计算过程及得分依据</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（54分）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项目立项</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依据充分性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程序规范性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目标设置</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绩效目标完整性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绩效指标细化量化</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资金预算</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预算编制匹配</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资金分配合理性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过程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（46分）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项目管理制度健全性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项目质量可控性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资金使用合规性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财务监督检查</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451"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指标性质</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度量单位</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权重</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未完成原因分析</w:t>
            </w:r>
          </w:p>
        </w:tc>
      </w:tr>
      <w:tr>
        <w:tblPrEx>
          <w:tblCellMar>
            <w:top w:w="0" w:type="dxa"/>
            <w:left w:w="0" w:type="dxa"/>
            <w:bottom w:w="0" w:type="dxa"/>
            <w:right w:w="0" w:type="dxa"/>
          </w:tblCellMar>
        </w:tblPrEx>
        <w:trPr>
          <w:trHeight w:val="424"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绩效指标（90分）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产出指标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时效指标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2023年12月底</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40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40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成本指标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经济成本指标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按照中央、省委、市委有关文件精神，全面推进市县乡村四级综治中心规范化建设，提高信息整合度，加强市级部门间信息共享，完善指挥调度体系，为绵阳市社会治理提供决策依据，为建设更高水平的平安绵阳，加快建设中国科技城，全力打造成渝副中心作出新贡献。</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100000</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元</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效益指标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社会效益指标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按照中央、省委、市委有关文件精神，全面推进市县乡村四级综治中心规范化建设，提高信息整合度，加强市级部门间信息共享，完善指挥调度体系，为绵阳市社会治理提供决策依据，为建设更高水平的平安绵阳，加快建设中国科技城，全力打造成渝副中心作出新贡献。</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按照中央、省委、市委有关文件精神，全面推进市县乡村四级综治中心规范化建设，提高信息整合度，加强市级部门间信息共享，完善指挥调度体系，为绵阳市社会治理提供决策依据，为建设更高水平的平安绵阳，加快建设中国科技城，全力打造成渝副中心作出新贡献。</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自评折算后总分(分值折算方式：“决策与过程指标”赋值100分按30%折算，“预算执行率和绩效指标”赋值100分按70%折算)：</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评价结论</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根据该项目决策及过程管理、预算执行率及绩效目标实现程度指标自评得分100.00分，自评等次为：优。按照中央、省委、市委有关文件精神，全面推进市县乡村四级综治中心规范化建设，提高信息整合度，加强市级部门间信息共享，完善指挥调度体系，为绵阳市社会治理提供决策依据，为建设更高水平的平安绵阳，加快建设中国科技城，全力打造成渝副中心作出新贡献。</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存在问题</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改进措施</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425" w:hRule="atLeast"/>
        </w:trPr>
        <w:tc>
          <w:tcPr>
            <w:tcW w:w="7747"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项目负责人：陈全</w:t>
            </w:r>
          </w:p>
        </w:tc>
        <w:tc>
          <w:tcPr>
            <w:tcW w:w="8163"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财务负责人：文颢源</w:t>
            </w:r>
          </w:p>
        </w:tc>
      </w:tr>
      <w:tr>
        <w:tblPrEx>
          <w:tblCellMar>
            <w:top w:w="0" w:type="dxa"/>
            <w:left w:w="0" w:type="dxa"/>
            <w:bottom w:w="0" w:type="dxa"/>
            <w:right w:w="0" w:type="dxa"/>
          </w:tblCellMar>
        </w:tblPrEx>
        <w:trPr>
          <w:trHeight w:val="425" w:hRule="atLeast"/>
        </w:trPr>
        <w:tc>
          <w:tcPr>
            <w:tcW w:w="944" w:type="dxa"/>
            <w:vAlign w:val="top"/>
          </w:tcPr>
          <w:p>
            <w:pPr>
              <w:spacing w:before="40" w:after="40"/>
              <w:ind w:left="40" w:right="40"/>
              <w:jc w:val="left"/>
              <w:rPr>
                <w:rFonts w:hint="eastAsia" w:ascii="Arial" w:hAnsi="Arial" w:eastAsia="Arial" w:cs="Arial"/>
                <w:color w:val="000000"/>
                <w:sz w:val="18"/>
              </w:rPr>
            </w:pPr>
          </w:p>
        </w:tc>
        <w:tc>
          <w:tcPr>
            <w:tcW w:w="2268" w:type="dxa"/>
            <w:vAlign w:val="top"/>
          </w:tcPr>
          <w:p>
            <w:pPr>
              <w:spacing w:before="40" w:after="40"/>
              <w:ind w:left="40" w:right="40"/>
              <w:jc w:val="left"/>
              <w:rPr>
                <w:rFonts w:hint="eastAsia" w:ascii="Arial" w:hAnsi="Arial" w:eastAsia="Arial" w:cs="Arial"/>
                <w:color w:val="000000"/>
                <w:sz w:val="18"/>
              </w:rPr>
            </w:pPr>
          </w:p>
        </w:tc>
        <w:tc>
          <w:tcPr>
            <w:tcW w:w="1587" w:type="dxa"/>
            <w:vAlign w:val="top"/>
          </w:tcPr>
          <w:p>
            <w:pPr>
              <w:spacing w:before="40" w:after="40"/>
              <w:ind w:left="40" w:right="40"/>
              <w:jc w:val="left"/>
              <w:rPr>
                <w:rFonts w:hint="eastAsia" w:ascii="Arial" w:hAnsi="Arial" w:eastAsia="Arial" w:cs="Arial"/>
                <w:color w:val="000000"/>
                <w:sz w:val="18"/>
              </w:rPr>
            </w:pPr>
          </w:p>
        </w:tc>
        <w:tc>
          <w:tcPr>
            <w:tcW w:w="2381"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1247"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2154" w:type="dxa"/>
            <w:vAlign w:val="top"/>
          </w:tcPr>
          <w:p>
            <w:pPr>
              <w:spacing w:before="40" w:after="40"/>
              <w:ind w:left="40" w:right="40"/>
              <w:jc w:val="left"/>
              <w:rPr>
                <w:rFonts w:hint="eastAsia" w:ascii="Arial" w:hAnsi="Arial" w:eastAsia="Arial" w:cs="Arial"/>
                <w:color w:val="000000"/>
                <w:sz w:val="18"/>
              </w:rPr>
            </w:pPr>
          </w:p>
        </w:tc>
        <w:tc>
          <w:tcPr>
            <w:tcW w:w="680" w:type="dxa"/>
            <w:vAlign w:val="top"/>
          </w:tcPr>
          <w:p>
            <w:pPr>
              <w:spacing w:before="40" w:after="40"/>
              <w:ind w:left="40" w:right="40"/>
              <w:jc w:val="left"/>
              <w:rPr>
                <w:rFonts w:hint="eastAsia" w:ascii="Arial" w:hAnsi="Arial" w:eastAsia="Arial" w:cs="Arial"/>
                <w:color w:val="000000"/>
                <w:sz w:val="18"/>
              </w:rPr>
            </w:pPr>
          </w:p>
        </w:tc>
        <w:tc>
          <w:tcPr>
            <w:tcW w:w="907" w:type="dxa"/>
            <w:vAlign w:val="top"/>
          </w:tcPr>
          <w:p>
            <w:pPr>
              <w:spacing w:before="40" w:after="40"/>
              <w:ind w:left="40" w:right="40"/>
              <w:jc w:val="left"/>
              <w:rPr>
                <w:rFonts w:hint="eastAsia" w:ascii="Arial" w:hAnsi="Arial" w:eastAsia="Arial" w:cs="Arial"/>
                <w:color w:val="000000"/>
                <w:sz w:val="18"/>
              </w:rPr>
            </w:pPr>
          </w:p>
        </w:tc>
        <w:tc>
          <w:tcPr>
            <w:tcW w:w="2608" w:type="dxa"/>
            <w:vAlign w:val="top"/>
          </w:tcPr>
          <w:p>
            <w:pPr>
              <w:spacing w:before="40" w:after="40"/>
              <w:ind w:left="40" w:right="40"/>
              <w:jc w:val="left"/>
              <w:rPr>
                <w:rFonts w:hint="eastAsia" w:ascii="Arial" w:hAnsi="Arial" w:eastAsia="Arial" w:cs="Arial"/>
                <w:color w:val="000000"/>
                <w:sz w:val="18"/>
              </w:rPr>
            </w:pPr>
          </w:p>
        </w:tc>
      </w:tr>
      <w:tr>
        <w:tblPrEx>
          <w:tblCellMar>
            <w:top w:w="0" w:type="dxa"/>
            <w:left w:w="0" w:type="dxa"/>
            <w:bottom w:w="0" w:type="dxa"/>
            <w:right w:w="0" w:type="dxa"/>
          </w:tblCellMar>
        </w:tblPrEx>
        <w:trPr>
          <w:trHeight w:val="907" w:hRule="atLeast"/>
        </w:trPr>
        <w:tc>
          <w:tcPr>
            <w:tcW w:w="15910" w:type="dxa"/>
            <w:gridSpan w:val="11"/>
            <w:vAlign w:val="center"/>
          </w:tcPr>
          <w:p>
            <w:pPr>
              <w:spacing w:before="40" w:after="40"/>
              <w:ind w:left="40" w:right="40"/>
              <w:jc w:val="center"/>
              <w:rPr>
                <w:rFonts w:hint="eastAsia" w:ascii="黑体" w:hAnsi="黑体" w:eastAsia="黑体" w:cs="黑体"/>
                <w:b/>
                <w:color w:val="000000"/>
                <w:sz w:val="32"/>
              </w:rPr>
            </w:pPr>
            <w:bookmarkStart w:id="1" w:name="_GoBack"/>
            <w:bookmarkEnd w:id="1"/>
            <w:r>
              <w:rPr>
                <w:rFonts w:hint="eastAsia" w:ascii="黑体" w:hAnsi="黑体" w:eastAsia="黑体" w:cs="黑体"/>
                <w:b/>
                <w:color w:val="000000"/>
                <w:sz w:val="32"/>
              </w:rPr>
              <w:t>部门预算项目支出绩效自评表（2023年度）</w:t>
            </w:r>
          </w:p>
        </w:tc>
      </w:tr>
      <w:tr>
        <w:tblPrEx>
          <w:tblCellMar>
            <w:top w:w="0" w:type="dxa"/>
            <w:left w:w="0" w:type="dxa"/>
            <w:bottom w:w="0" w:type="dxa"/>
            <w:right w:w="0" w:type="dxa"/>
          </w:tblCellMar>
        </w:tblPrEx>
        <w:trPr>
          <w:trHeight w:val="424" w:hRule="atLeast"/>
        </w:trPr>
        <w:tc>
          <w:tcPr>
            <w:tcW w:w="9561" w:type="dxa"/>
            <w:gridSpan w:val="7"/>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单位(盖章)：中共绵阳市委政法委员会</w:t>
            </w:r>
          </w:p>
        </w:tc>
        <w:tc>
          <w:tcPr>
            <w:tcW w:w="2154" w:type="dxa"/>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填报日期：</w:t>
            </w:r>
          </w:p>
        </w:tc>
        <w:tc>
          <w:tcPr>
            <w:tcW w:w="4195" w:type="dxa"/>
            <w:gridSpan w:val="3"/>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2024年6月3日</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项目名称</w:t>
            </w:r>
          </w:p>
        </w:tc>
        <w:tc>
          <w:tcPr>
            <w:tcW w:w="12698" w:type="dxa"/>
            <w:gridSpan w:val="9"/>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绵阳市社会治理综合平台第二期（LED大屏和无纸化服务器）</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主管部门及代码</w:t>
            </w:r>
          </w:p>
        </w:tc>
        <w:tc>
          <w:tcPr>
            <w:tcW w:w="6349"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302-中共绵阳市委政法委员会本级部门</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实施单位</w:t>
            </w:r>
          </w:p>
        </w:tc>
        <w:tc>
          <w:tcPr>
            <w:tcW w:w="4195"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中共绵阳市委政法委员会</w:t>
            </w:r>
          </w:p>
        </w:tc>
      </w:tr>
      <w:tr>
        <w:tblPrEx>
          <w:tblCellMar>
            <w:top w:w="0" w:type="dxa"/>
            <w:left w:w="0" w:type="dxa"/>
            <w:bottom w:w="0" w:type="dxa"/>
            <w:right w:w="0" w:type="dxa"/>
          </w:tblCellMar>
        </w:tblPrEx>
        <w:trPr>
          <w:trHeight w:val="453"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项目资金使用情况（10分）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资金来源</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全年预算数</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调整后预算数</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全年执行数</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自评得分</w:t>
            </w:r>
          </w:p>
        </w:tc>
        <w:tc>
          <w:tcPr>
            <w:tcW w:w="3515"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年度资金总额（万元）</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28.11</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32.83</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30.10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0.91</w:t>
            </w:r>
          </w:p>
        </w:tc>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9.16</w:t>
            </w:r>
          </w:p>
        </w:tc>
        <w:tc>
          <w:tcPr>
            <w:tcW w:w="3515" w:type="dxa"/>
            <w:gridSpan w:val="2"/>
            <w:vMerge w:val="restart"/>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预算执行率较低原因：； 预算调整(调增/调减)原因：按照信息化项目采购指标下达资金</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其中：中央、省补助</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市级财政资金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28.11</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32.83</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30.10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0.91</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县级财政资金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其他资金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年度总体目标</w:t>
            </w:r>
          </w:p>
        </w:tc>
        <w:tc>
          <w:tcPr>
            <w:tcW w:w="8617"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预期目标</w:t>
            </w:r>
          </w:p>
        </w:tc>
        <w:tc>
          <w:tcPr>
            <w:tcW w:w="6349" w:type="dxa"/>
            <w:gridSpan w:val="4"/>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实际完成情况</w:t>
            </w:r>
          </w:p>
        </w:tc>
      </w:tr>
      <w:tr>
        <w:tblPrEx>
          <w:tblCellMar>
            <w:top w:w="0" w:type="dxa"/>
            <w:left w:w="0" w:type="dxa"/>
            <w:bottom w:w="0" w:type="dxa"/>
            <w:right w:w="0" w:type="dxa"/>
          </w:tblCellMar>
        </w:tblPrEx>
        <w:trPr>
          <w:trHeight w:val="680"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8617" w:type="dxa"/>
            <w:gridSpan w:val="6"/>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绵阳市社会治理综合平台第二期（LED大屏和无纸化服务器）</w:t>
            </w:r>
          </w:p>
        </w:tc>
        <w:tc>
          <w:tcPr>
            <w:tcW w:w="6349" w:type="dxa"/>
            <w:gridSpan w:val="4"/>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绵阳市社会治理综合平台第二期（LED大屏和无纸化服务器）</w:t>
            </w: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决策与过程指标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（100分）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分值</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计算过程及得分依据</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（54分）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项目立项</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依据充分性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程序规范性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目标设置</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绩效目标完整性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绩效指标细化量化</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资金预算</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预算编制匹配</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资金分配合理性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过程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（46分）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项目管理制度健全性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项目质量可控性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资金使用合规性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财务监督检查</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451"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指标性质</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度量单位</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权重</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未完成原因分析</w:t>
            </w:r>
          </w:p>
        </w:tc>
      </w:tr>
      <w:tr>
        <w:tblPrEx>
          <w:tblCellMar>
            <w:top w:w="0" w:type="dxa"/>
            <w:left w:w="0" w:type="dxa"/>
            <w:bottom w:w="0" w:type="dxa"/>
            <w:right w:w="0" w:type="dxa"/>
          </w:tblCellMar>
        </w:tblPrEx>
        <w:trPr>
          <w:trHeight w:val="424"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绩效指标（90分）</w:t>
            </w: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产出指标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数量指标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社会治理现代化平台项目为绵阳市政法委在市域社会治理领域的重大项目,能够实现对多部门业务数据的汇聚和充分利用，具备全面的数据汇聚及应用能力、全程的事件处置能力、全局的指挥调度能力、全域的预警研判能力，有效推动社会治理现代化建设，为政府信息资源共享带来示范效应。</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30.1</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万元</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30.1</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时效指标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12月31日</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效益指标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社会效益指标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社会治理现代化平台项目为绵阳市政法委在市域社会治理领域的重大项目,能够实现对多部门业务数据的汇聚和充分利用，具备全面的数据汇聚及应用能力、全程的事件处置能力、全局的指挥调度能力、全域的预警研判能力，有效推动社会治理现代化建设，为政府信息资源共享带来示范效应。</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服务对象满意度指标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社会治理现代化平台项目为绵阳市政法委在市域社会治理领域的重大项目,能够实现对多部门业务数据的汇聚和充分利用，具备全面的数据汇聚及应用能力、全程的事件处置能力、全局的指挥调度能力、全域的预警研判能力，有效推动社会治理现代化建设，为政府信息资源共享带来示范效应。</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自评折算后总分(分值折算方式：“决策与过程指标”赋值100分按30%折算，“预算执行率和绩效指标”赋值100分按70%折算)：</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99.41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评价结论</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根据该项目决策及过程管理、预算执行率及绩效目标实现程度指标自评得分99.41分，自评等次为：优。绵阳市社会治理综合平台第二期（LED大屏和无纸化服务器）</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存在问题</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改进措施</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425" w:hRule="atLeast"/>
        </w:trPr>
        <w:tc>
          <w:tcPr>
            <w:tcW w:w="7747"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项目负责人：陈全</w:t>
            </w:r>
          </w:p>
        </w:tc>
        <w:tc>
          <w:tcPr>
            <w:tcW w:w="8163"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财务负责人：文颢源</w:t>
            </w:r>
          </w:p>
        </w:tc>
      </w:tr>
      <w:tr>
        <w:trPr>
          <w:trHeight w:val="425" w:hRule="atLeast"/>
        </w:trPr>
        <w:tc>
          <w:tcPr>
            <w:tcW w:w="944" w:type="dxa"/>
            <w:vAlign w:val="top"/>
          </w:tcPr>
          <w:p>
            <w:pPr>
              <w:spacing w:before="40" w:after="40"/>
              <w:ind w:left="40" w:right="40"/>
              <w:jc w:val="left"/>
              <w:rPr>
                <w:rFonts w:hint="eastAsia" w:ascii="Arial" w:hAnsi="Arial" w:eastAsia="Arial" w:cs="Arial"/>
                <w:color w:val="000000"/>
                <w:sz w:val="18"/>
              </w:rPr>
            </w:pPr>
          </w:p>
        </w:tc>
        <w:tc>
          <w:tcPr>
            <w:tcW w:w="2268" w:type="dxa"/>
            <w:vAlign w:val="top"/>
          </w:tcPr>
          <w:p>
            <w:pPr>
              <w:spacing w:before="40" w:after="40"/>
              <w:ind w:left="40" w:right="40"/>
              <w:jc w:val="left"/>
              <w:rPr>
                <w:rFonts w:hint="eastAsia" w:ascii="Arial" w:hAnsi="Arial" w:eastAsia="Arial" w:cs="Arial"/>
                <w:color w:val="000000"/>
                <w:sz w:val="18"/>
              </w:rPr>
            </w:pPr>
          </w:p>
        </w:tc>
        <w:tc>
          <w:tcPr>
            <w:tcW w:w="1587" w:type="dxa"/>
            <w:vAlign w:val="top"/>
          </w:tcPr>
          <w:p>
            <w:pPr>
              <w:spacing w:before="40" w:after="40"/>
              <w:ind w:left="40" w:right="40"/>
              <w:jc w:val="left"/>
              <w:rPr>
                <w:rFonts w:hint="eastAsia" w:ascii="Arial" w:hAnsi="Arial" w:eastAsia="Arial" w:cs="Arial"/>
                <w:color w:val="000000"/>
                <w:sz w:val="18"/>
              </w:rPr>
            </w:pPr>
          </w:p>
        </w:tc>
        <w:tc>
          <w:tcPr>
            <w:tcW w:w="2381"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1247"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2154" w:type="dxa"/>
            <w:vAlign w:val="top"/>
          </w:tcPr>
          <w:p>
            <w:pPr>
              <w:spacing w:before="40" w:after="40"/>
              <w:ind w:left="40" w:right="40"/>
              <w:jc w:val="left"/>
              <w:rPr>
                <w:rFonts w:hint="eastAsia" w:ascii="Arial" w:hAnsi="Arial" w:eastAsia="Arial" w:cs="Arial"/>
                <w:color w:val="000000"/>
                <w:sz w:val="18"/>
              </w:rPr>
            </w:pPr>
          </w:p>
        </w:tc>
        <w:tc>
          <w:tcPr>
            <w:tcW w:w="680" w:type="dxa"/>
            <w:vAlign w:val="top"/>
          </w:tcPr>
          <w:p>
            <w:pPr>
              <w:spacing w:before="40" w:after="40"/>
              <w:ind w:left="40" w:right="40"/>
              <w:jc w:val="left"/>
              <w:rPr>
                <w:rFonts w:hint="eastAsia" w:ascii="Arial" w:hAnsi="Arial" w:eastAsia="Arial" w:cs="Arial"/>
                <w:color w:val="000000"/>
                <w:sz w:val="18"/>
              </w:rPr>
            </w:pPr>
          </w:p>
        </w:tc>
        <w:tc>
          <w:tcPr>
            <w:tcW w:w="907" w:type="dxa"/>
            <w:vAlign w:val="top"/>
          </w:tcPr>
          <w:p>
            <w:pPr>
              <w:spacing w:before="40" w:after="40"/>
              <w:ind w:left="40" w:right="40"/>
              <w:jc w:val="left"/>
              <w:rPr>
                <w:rFonts w:hint="eastAsia" w:ascii="Arial" w:hAnsi="Arial" w:eastAsia="Arial" w:cs="Arial"/>
                <w:color w:val="000000"/>
                <w:sz w:val="18"/>
              </w:rPr>
            </w:pPr>
          </w:p>
        </w:tc>
        <w:tc>
          <w:tcPr>
            <w:tcW w:w="2608" w:type="dxa"/>
            <w:vAlign w:val="top"/>
          </w:tcPr>
          <w:p>
            <w:pPr>
              <w:spacing w:before="40" w:after="40"/>
              <w:ind w:left="40" w:right="40"/>
              <w:jc w:val="left"/>
              <w:rPr>
                <w:rFonts w:hint="eastAsia" w:ascii="Arial" w:hAnsi="Arial" w:eastAsia="Arial" w:cs="Arial"/>
                <w:color w:val="000000"/>
                <w:sz w:val="18"/>
              </w:rPr>
            </w:pPr>
          </w:p>
        </w:tc>
      </w:tr>
      <w:tr>
        <w:trPr>
          <w:trHeight w:val="907" w:hRule="atLeast"/>
        </w:trPr>
        <w:tc>
          <w:tcPr>
            <w:tcW w:w="15910" w:type="dxa"/>
            <w:gridSpan w:val="11"/>
            <w:vAlign w:val="center"/>
          </w:tcPr>
          <w:p>
            <w:pPr>
              <w:spacing w:before="40" w:after="40"/>
              <w:ind w:left="40" w:right="40"/>
              <w:jc w:val="center"/>
              <w:rPr>
                <w:rFonts w:hint="eastAsia" w:ascii="黑体" w:hAnsi="黑体" w:eastAsia="黑体" w:cs="黑体"/>
                <w:b/>
                <w:color w:val="000000"/>
                <w:sz w:val="32"/>
              </w:rPr>
            </w:pPr>
            <w:r>
              <w:rPr>
                <w:rFonts w:hint="eastAsia" w:ascii="黑体" w:hAnsi="黑体" w:eastAsia="黑体" w:cs="黑体"/>
                <w:b/>
                <w:color w:val="000000"/>
                <w:sz w:val="32"/>
              </w:rPr>
              <w:t>部门预算项目支出绩效自评表（2023年度）</w:t>
            </w:r>
          </w:p>
        </w:tc>
      </w:tr>
      <w:tr>
        <w:tblPrEx>
          <w:tblCellMar>
            <w:top w:w="0" w:type="dxa"/>
            <w:left w:w="0" w:type="dxa"/>
            <w:bottom w:w="0" w:type="dxa"/>
            <w:right w:w="0" w:type="dxa"/>
          </w:tblCellMar>
        </w:tblPrEx>
        <w:trPr>
          <w:trHeight w:val="424" w:hRule="atLeast"/>
        </w:trPr>
        <w:tc>
          <w:tcPr>
            <w:tcW w:w="9561" w:type="dxa"/>
            <w:gridSpan w:val="7"/>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单位(盖章)：中共绵阳市委政法委员会</w:t>
            </w:r>
          </w:p>
        </w:tc>
        <w:tc>
          <w:tcPr>
            <w:tcW w:w="2154" w:type="dxa"/>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填报日期：</w:t>
            </w:r>
          </w:p>
        </w:tc>
        <w:tc>
          <w:tcPr>
            <w:tcW w:w="4195" w:type="dxa"/>
            <w:gridSpan w:val="3"/>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2024年6月3日</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项目名称</w:t>
            </w:r>
          </w:p>
        </w:tc>
        <w:tc>
          <w:tcPr>
            <w:tcW w:w="12698" w:type="dxa"/>
            <w:gridSpan w:val="9"/>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绵阳市社会治理综合平台第二期（云服务）</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主管部门及代码</w:t>
            </w:r>
          </w:p>
        </w:tc>
        <w:tc>
          <w:tcPr>
            <w:tcW w:w="6349"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302-中共绵阳市委政法委员会本级部门</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实施单位</w:t>
            </w:r>
          </w:p>
        </w:tc>
        <w:tc>
          <w:tcPr>
            <w:tcW w:w="4195"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中共绵阳市委政法委员会</w:t>
            </w:r>
          </w:p>
        </w:tc>
      </w:tr>
      <w:tr>
        <w:tblPrEx>
          <w:tblCellMar>
            <w:top w:w="0" w:type="dxa"/>
            <w:left w:w="0" w:type="dxa"/>
            <w:bottom w:w="0" w:type="dxa"/>
            <w:right w:w="0" w:type="dxa"/>
          </w:tblCellMar>
        </w:tblPrEx>
        <w:trPr>
          <w:trHeight w:val="453"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项目资金使用情况（10分）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资金来源</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全年预算数</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调整后预算数</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全年执行数</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自评得分</w:t>
            </w:r>
          </w:p>
        </w:tc>
        <w:tc>
          <w:tcPr>
            <w:tcW w:w="3515"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年度资金总额（万元）</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2.61</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31.61</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29.00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0.91</w:t>
            </w:r>
          </w:p>
        </w:tc>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9.17</w:t>
            </w:r>
          </w:p>
        </w:tc>
        <w:tc>
          <w:tcPr>
            <w:tcW w:w="3515" w:type="dxa"/>
            <w:gridSpan w:val="2"/>
            <w:vMerge w:val="restart"/>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预算执行率较低原因：按合同金额支付； 预算调整(调增/调减)原因：按合同金额支付</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其中：中央、省补助</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市级财政资金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2.61</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31.61</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29.00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0.91</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县级财政资金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其他资金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年度总体目标</w:t>
            </w:r>
          </w:p>
        </w:tc>
        <w:tc>
          <w:tcPr>
            <w:tcW w:w="8617"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预期目标</w:t>
            </w:r>
          </w:p>
        </w:tc>
        <w:tc>
          <w:tcPr>
            <w:tcW w:w="6349" w:type="dxa"/>
            <w:gridSpan w:val="4"/>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实际完成情况</w:t>
            </w:r>
          </w:p>
        </w:tc>
      </w:tr>
      <w:tr>
        <w:tblPrEx>
          <w:tblCellMar>
            <w:top w:w="0" w:type="dxa"/>
            <w:left w:w="0" w:type="dxa"/>
            <w:bottom w:w="0" w:type="dxa"/>
            <w:right w:w="0" w:type="dxa"/>
          </w:tblCellMar>
        </w:tblPrEx>
        <w:trPr>
          <w:trHeight w:val="680"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8617" w:type="dxa"/>
            <w:gridSpan w:val="6"/>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绵阳市社会治理综合平台第二期（云服务）</w:t>
            </w:r>
          </w:p>
        </w:tc>
        <w:tc>
          <w:tcPr>
            <w:tcW w:w="6349" w:type="dxa"/>
            <w:gridSpan w:val="4"/>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绵阳市社会治理综合平台第二期（云服务）</w:t>
            </w: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决策与过程指标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（100分）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分值</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计算过程及得分依据</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（54分）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项目立项</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依据充分性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程序规范性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目标设置</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绩效目标完整性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r>
      <w:tr>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绩效指标细化量化</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资金预算</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预算编制匹配</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资金分配合理性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过程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（46分）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项目管理制度健全性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项目质量可控性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资金使用合规性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财务监督检查</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451"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指标性质</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度量单位</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权重</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未完成原因分析</w:t>
            </w:r>
          </w:p>
        </w:tc>
      </w:tr>
      <w:tr>
        <w:tblPrEx>
          <w:tblCellMar>
            <w:top w:w="0" w:type="dxa"/>
            <w:left w:w="0" w:type="dxa"/>
            <w:bottom w:w="0" w:type="dxa"/>
            <w:right w:w="0" w:type="dxa"/>
          </w:tblCellMar>
        </w:tblPrEx>
        <w:trPr>
          <w:trHeight w:val="424"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绩效指标（90分）</w:t>
            </w: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产出指标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数量指标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社会治理现代化平台项目为绵阳市政法委在市域社会治理领域的重大项目,能够实现对多部门业务数据的汇聚和充分利用，具备全面的数据汇聚及应用能力、全程的事件处置能力、全局的指挥调度能力、全域的预警研判能力，有效推动社会治理现代化建设，为政府信息资源共享带来示范效应。</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29</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万元</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29</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时效指标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12月31日</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效益指标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社会效益指标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社会治理现代化平台项目为绵阳市政法委在市域社会治理领域的重大项目,能够实现对多部门业务数据的汇聚和充分利用，具备全面的数据汇聚及应用能力、全程的事件处置能力、全局的指挥调度能力、全域的预警研判能力，有效推动社会治理现代化建设，为政府信息资源共享带来示范效应。</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服务对象满意度指标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社会治理现代化平台项目为绵阳市政法委在市域社会治理领域的重大项目,能够实现对多部门业务数据的汇聚和充分利用，具备全面的数据汇聚及应用能力、全程的事件处置能力、全局的指挥调度能力、全域的预警研判能力，有效推动社会治理现代化建设，为政府信息资源共享带来示范效应。</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自评折算后总分(分值折算方式：“决策与过程指标”赋值100分按30%折算，“预算执行率和绩效指标”赋值100分按70%折算)：</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99.42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评价结论</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根据该项目决策及过程管理、预算执行率及绩效目标实现程度指标自评得分99.42分，自评等次为：优。绵阳市社会治理综合平台第二期（云服务）</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存在问题</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改进措施</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425" w:hRule="atLeast"/>
        </w:trPr>
        <w:tc>
          <w:tcPr>
            <w:tcW w:w="7747"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项目负责人：陈全</w:t>
            </w:r>
          </w:p>
        </w:tc>
        <w:tc>
          <w:tcPr>
            <w:tcW w:w="8163"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财务负责人：文灏源</w:t>
            </w:r>
          </w:p>
        </w:tc>
      </w:tr>
      <w:tr>
        <w:tblPrEx>
          <w:tblCellMar>
            <w:top w:w="0" w:type="dxa"/>
            <w:left w:w="0" w:type="dxa"/>
            <w:bottom w:w="0" w:type="dxa"/>
            <w:right w:w="0" w:type="dxa"/>
          </w:tblCellMar>
        </w:tblPrEx>
        <w:trPr>
          <w:trHeight w:val="425" w:hRule="atLeast"/>
        </w:trPr>
        <w:tc>
          <w:tcPr>
            <w:tcW w:w="944" w:type="dxa"/>
            <w:vAlign w:val="top"/>
          </w:tcPr>
          <w:p>
            <w:pPr>
              <w:spacing w:before="40" w:after="40"/>
              <w:ind w:left="40" w:right="40"/>
              <w:jc w:val="left"/>
              <w:rPr>
                <w:rFonts w:hint="eastAsia" w:ascii="Arial" w:hAnsi="Arial" w:eastAsia="Arial" w:cs="Arial"/>
                <w:color w:val="000000"/>
                <w:sz w:val="18"/>
              </w:rPr>
            </w:pPr>
          </w:p>
        </w:tc>
        <w:tc>
          <w:tcPr>
            <w:tcW w:w="2268" w:type="dxa"/>
            <w:vAlign w:val="top"/>
          </w:tcPr>
          <w:p>
            <w:pPr>
              <w:spacing w:before="40" w:after="40"/>
              <w:ind w:left="40" w:right="40"/>
              <w:jc w:val="left"/>
              <w:rPr>
                <w:rFonts w:hint="eastAsia" w:ascii="Arial" w:hAnsi="Arial" w:eastAsia="Arial" w:cs="Arial"/>
                <w:color w:val="000000"/>
                <w:sz w:val="18"/>
              </w:rPr>
            </w:pPr>
          </w:p>
        </w:tc>
        <w:tc>
          <w:tcPr>
            <w:tcW w:w="1587" w:type="dxa"/>
            <w:vAlign w:val="top"/>
          </w:tcPr>
          <w:p>
            <w:pPr>
              <w:spacing w:before="40" w:after="40"/>
              <w:ind w:left="40" w:right="40"/>
              <w:jc w:val="left"/>
              <w:rPr>
                <w:rFonts w:hint="eastAsia" w:ascii="Arial" w:hAnsi="Arial" w:eastAsia="Arial" w:cs="Arial"/>
                <w:color w:val="000000"/>
                <w:sz w:val="18"/>
              </w:rPr>
            </w:pPr>
          </w:p>
        </w:tc>
        <w:tc>
          <w:tcPr>
            <w:tcW w:w="2381"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1247"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2154" w:type="dxa"/>
            <w:vAlign w:val="top"/>
          </w:tcPr>
          <w:p>
            <w:pPr>
              <w:spacing w:before="40" w:after="40"/>
              <w:ind w:left="40" w:right="40"/>
              <w:jc w:val="left"/>
              <w:rPr>
                <w:rFonts w:hint="eastAsia" w:ascii="Arial" w:hAnsi="Arial" w:eastAsia="Arial" w:cs="Arial"/>
                <w:color w:val="000000"/>
                <w:sz w:val="18"/>
              </w:rPr>
            </w:pPr>
          </w:p>
        </w:tc>
        <w:tc>
          <w:tcPr>
            <w:tcW w:w="680" w:type="dxa"/>
            <w:vAlign w:val="top"/>
          </w:tcPr>
          <w:p>
            <w:pPr>
              <w:spacing w:before="40" w:after="40"/>
              <w:ind w:left="40" w:right="40"/>
              <w:jc w:val="left"/>
              <w:rPr>
                <w:rFonts w:hint="eastAsia" w:ascii="Arial" w:hAnsi="Arial" w:eastAsia="Arial" w:cs="Arial"/>
                <w:color w:val="000000"/>
                <w:sz w:val="18"/>
              </w:rPr>
            </w:pPr>
          </w:p>
        </w:tc>
        <w:tc>
          <w:tcPr>
            <w:tcW w:w="907" w:type="dxa"/>
            <w:vAlign w:val="top"/>
          </w:tcPr>
          <w:p>
            <w:pPr>
              <w:spacing w:before="40" w:after="40"/>
              <w:ind w:left="40" w:right="40"/>
              <w:jc w:val="left"/>
              <w:rPr>
                <w:rFonts w:hint="eastAsia" w:ascii="Arial" w:hAnsi="Arial" w:eastAsia="Arial" w:cs="Arial"/>
                <w:color w:val="000000"/>
                <w:sz w:val="18"/>
              </w:rPr>
            </w:pPr>
          </w:p>
        </w:tc>
        <w:tc>
          <w:tcPr>
            <w:tcW w:w="2608" w:type="dxa"/>
            <w:vAlign w:val="top"/>
          </w:tcPr>
          <w:p>
            <w:pPr>
              <w:spacing w:before="40" w:after="40"/>
              <w:ind w:left="40" w:right="40"/>
              <w:jc w:val="left"/>
              <w:rPr>
                <w:rFonts w:hint="eastAsia" w:ascii="Arial" w:hAnsi="Arial" w:eastAsia="Arial" w:cs="Arial"/>
                <w:color w:val="000000"/>
                <w:sz w:val="18"/>
              </w:rPr>
            </w:pPr>
          </w:p>
        </w:tc>
      </w:tr>
      <w:tr>
        <w:tblPrEx>
          <w:tblCellMar>
            <w:top w:w="0" w:type="dxa"/>
            <w:left w:w="0" w:type="dxa"/>
            <w:bottom w:w="0" w:type="dxa"/>
            <w:right w:w="0" w:type="dxa"/>
          </w:tblCellMar>
        </w:tblPrEx>
        <w:trPr>
          <w:trHeight w:val="907" w:hRule="atLeast"/>
        </w:trPr>
        <w:tc>
          <w:tcPr>
            <w:tcW w:w="15910" w:type="dxa"/>
            <w:gridSpan w:val="11"/>
            <w:vAlign w:val="center"/>
          </w:tcPr>
          <w:p>
            <w:pPr>
              <w:spacing w:before="40" w:after="40"/>
              <w:ind w:left="40" w:right="40"/>
              <w:jc w:val="center"/>
              <w:rPr>
                <w:rFonts w:hint="eastAsia" w:ascii="黑体" w:hAnsi="黑体" w:eastAsia="黑体" w:cs="黑体"/>
                <w:b/>
                <w:color w:val="000000"/>
                <w:sz w:val="32"/>
              </w:rPr>
            </w:pPr>
            <w:r>
              <w:rPr>
                <w:rFonts w:hint="eastAsia" w:ascii="黑体" w:hAnsi="黑体" w:eastAsia="黑体" w:cs="黑体"/>
                <w:b/>
                <w:color w:val="000000"/>
                <w:sz w:val="32"/>
              </w:rPr>
              <w:t>部门预算项目支出绩效自评表（2023年度）</w:t>
            </w:r>
          </w:p>
        </w:tc>
      </w:tr>
      <w:tr>
        <w:tblPrEx>
          <w:tblCellMar>
            <w:top w:w="0" w:type="dxa"/>
            <w:left w:w="0" w:type="dxa"/>
            <w:bottom w:w="0" w:type="dxa"/>
            <w:right w:w="0" w:type="dxa"/>
          </w:tblCellMar>
        </w:tblPrEx>
        <w:trPr>
          <w:trHeight w:val="424" w:hRule="atLeast"/>
        </w:trPr>
        <w:tc>
          <w:tcPr>
            <w:tcW w:w="9561" w:type="dxa"/>
            <w:gridSpan w:val="7"/>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单位(盖章)：中共绵阳市委政法委员会</w:t>
            </w:r>
          </w:p>
        </w:tc>
        <w:tc>
          <w:tcPr>
            <w:tcW w:w="2154" w:type="dxa"/>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填报日期：</w:t>
            </w:r>
          </w:p>
        </w:tc>
        <w:tc>
          <w:tcPr>
            <w:tcW w:w="4195" w:type="dxa"/>
            <w:gridSpan w:val="3"/>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2024年5月30日</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项目名称</w:t>
            </w:r>
          </w:p>
        </w:tc>
        <w:tc>
          <w:tcPr>
            <w:tcW w:w="12698" w:type="dxa"/>
            <w:gridSpan w:val="9"/>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绵阳市社会治理综合平台第二期（台席）</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主管部门及代码</w:t>
            </w:r>
          </w:p>
        </w:tc>
        <w:tc>
          <w:tcPr>
            <w:tcW w:w="6349"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302-中共绵阳市委政法委员会本级部门</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实施单位</w:t>
            </w:r>
          </w:p>
        </w:tc>
        <w:tc>
          <w:tcPr>
            <w:tcW w:w="4195"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中共绵阳市委政法委员会</w:t>
            </w:r>
          </w:p>
        </w:tc>
      </w:tr>
      <w:tr>
        <w:tblPrEx>
          <w:tblCellMar>
            <w:top w:w="0" w:type="dxa"/>
            <w:left w:w="0" w:type="dxa"/>
            <w:bottom w:w="0" w:type="dxa"/>
            <w:right w:w="0" w:type="dxa"/>
          </w:tblCellMar>
        </w:tblPrEx>
        <w:trPr>
          <w:trHeight w:val="453"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项目资金使用情况（10分）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资金来源</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全年预算数</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调整后预算数</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全年执行数</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自评得分</w:t>
            </w:r>
          </w:p>
        </w:tc>
        <w:tc>
          <w:tcPr>
            <w:tcW w:w="3515"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年度资金总额（万元）</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11.50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11.50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3515" w:type="dxa"/>
            <w:gridSpan w:val="2"/>
            <w:vMerge w:val="restart"/>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预算执行率较低原因：； 预算调整(调增/调减)原因：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其中：中央、省补助</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市级财政资金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11.50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11.50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县级财政资金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其他资金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年度总体目标</w:t>
            </w:r>
          </w:p>
        </w:tc>
        <w:tc>
          <w:tcPr>
            <w:tcW w:w="8617"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预期目标</w:t>
            </w:r>
          </w:p>
        </w:tc>
        <w:tc>
          <w:tcPr>
            <w:tcW w:w="6349" w:type="dxa"/>
            <w:gridSpan w:val="4"/>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实际完成情况</w:t>
            </w:r>
          </w:p>
        </w:tc>
      </w:tr>
      <w:tr>
        <w:tblPrEx>
          <w:tblCellMar>
            <w:top w:w="0" w:type="dxa"/>
            <w:left w:w="0" w:type="dxa"/>
            <w:bottom w:w="0" w:type="dxa"/>
            <w:right w:w="0" w:type="dxa"/>
          </w:tblCellMar>
        </w:tblPrEx>
        <w:trPr>
          <w:trHeight w:val="680"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8617" w:type="dxa"/>
            <w:gridSpan w:val="6"/>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完成绵阳市社会治理综合平台第二期台席购买</w:t>
            </w:r>
          </w:p>
        </w:tc>
        <w:tc>
          <w:tcPr>
            <w:tcW w:w="6349" w:type="dxa"/>
            <w:gridSpan w:val="4"/>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完成绵阳市社会治理综合平台第二期台席购买</w:t>
            </w: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决策与过程指标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（100分）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分值</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计算过程及得分依据</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（54分）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项目立项</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依据充分性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程序规范性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目标设置</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绩效目标完整性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绩效指标细化量化</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资金预算</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预算编制匹配</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资金分配合理性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过程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（46分）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项目管理制度健全性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项目质量可控性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资金使用合规性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财务监督检查</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451"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指标性质</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度量单位</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权重</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未完成原因分析</w:t>
            </w:r>
          </w:p>
        </w:tc>
      </w:tr>
      <w:tr>
        <w:tblPrEx>
          <w:tblCellMar>
            <w:top w:w="0" w:type="dxa"/>
            <w:left w:w="0" w:type="dxa"/>
            <w:bottom w:w="0" w:type="dxa"/>
            <w:right w:w="0" w:type="dxa"/>
          </w:tblCellMar>
        </w:tblPrEx>
        <w:trPr>
          <w:trHeight w:val="424"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绩效指标（90分）</w:t>
            </w: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产出指标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数量指标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社会治理现代化平台项目为绵阳市政法委在市域社会治理领域的重大项目,能够实现对多部门业务数据的汇聚和充分利用，具备全面的数据汇聚及应用能力、全程的事件处置能力、全局的指挥调度能力、全域的预警研判能力，有效推动社会治理现代化建设，为政府信息资源共享带来示范效应。</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时效指标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12月31日</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效益指标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社会效益指标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完成绵阳市社会治理综合平台第二期台席购买</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服务对象满意度指标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确保社会治理中心工作顺利开展</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自评折算后总分(分值折算方式：“决策与过程指标”赋值100分按30%折算，“预算执行率和绩效指标”赋值100分按70%折算)：</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评价结论</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根据该项目决策及过程管理、预算执行率及绩效目标实现程度指标自评得分100.00分，自评等次为：优。完成</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存在问题</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改进措施</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425" w:hRule="atLeast"/>
        </w:trPr>
        <w:tc>
          <w:tcPr>
            <w:tcW w:w="7747"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项目负责人：陈全</w:t>
            </w:r>
          </w:p>
        </w:tc>
        <w:tc>
          <w:tcPr>
            <w:tcW w:w="8163"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财务负责人：文颢源</w:t>
            </w:r>
          </w:p>
        </w:tc>
      </w:tr>
      <w:tr>
        <w:tblPrEx>
          <w:tblCellMar>
            <w:top w:w="0" w:type="dxa"/>
            <w:left w:w="0" w:type="dxa"/>
            <w:bottom w:w="0" w:type="dxa"/>
            <w:right w:w="0" w:type="dxa"/>
          </w:tblCellMar>
        </w:tblPrEx>
        <w:trPr>
          <w:trHeight w:val="425" w:hRule="atLeast"/>
        </w:trPr>
        <w:tc>
          <w:tcPr>
            <w:tcW w:w="944" w:type="dxa"/>
            <w:vAlign w:val="top"/>
          </w:tcPr>
          <w:p>
            <w:pPr>
              <w:spacing w:before="40" w:after="40"/>
              <w:ind w:left="40" w:right="40"/>
              <w:jc w:val="left"/>
              <w:rPr>
                <w:rFonts w:hint="eastAsia" w:ascii="Arial" w:hAnsi="Arial" w:eastAsia="Arial" w:cs="Arial"/>
                <w:color w:val="000000"/>
                <w:sz w:val="18"/>
              </w:rPr>
            </w:pPr>
          </w:p>
        </w:tc>
        <w:tc>
          <w:tcPr>
            <w:tcW w:w="2268" w:type="dxa"/>
            <w:vAlign w:val="top"/>
          </w:tcPr>
          <w:p>
            <w:pPr>
              <w:spacing w:before="40" w:after="40"/>
              <w:ind w:left="40" w:right="40"/>
              <w:jc w:val="left"/>
              <w:rPr>
                <w:rFonts w:hint="eastAsia" w:ascii="Arial" w:hAnsi="Arial" w:eastAsia="Arial" w:cs="Arial"/>
                <w:color w:val="000000"/>
                <w:sz w:val="18"/>
              </w:rPr>
            </w:pPr>
          </w:p>
        </w:tc>
        <w:tc>
          <w:tcPr>
            <w:tcW w:w="1587" w:type="dxa"/>
            <w:vAlign w:val="top"/>
          </w:tcPr>
          <w:p>
            <w:pPr>
              <w:spacing w:before="40" w:after="40"/>
              <w:ind w:left="40" w:right="40"/>
              <w:jc w:val="left"/>
              <w:rPr>
                <w:rFonts w:hint="eastAsia" w:ascii="Arial" w:hAnsi="Arial" w:eastAsia="Arial" w:cs="Arial"/>
                <w:color w:val="000000"/>
                <w:sz w:val="18"/>
              </w:rPr>
            </w:pPr>
          </w:p>
        </w:tc>
        <w:tc>
          <w:tcPr>
            <w:tcW w:w="2381"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1247"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2154" w:type="dxa"/>
            <w:vAlign w:val="top"/>
          </w:tcPr>
          <w:p>
            <w:pPr>
              <w:spacing w:before="40" w:after="40"/>
              <w:ind w:left="40" w:right="40"/>
              <w:jc w:val="left"/>
              <w:rPr>
                <w:rFonts w:hint="eastAsia" w:ascii="Arial" w:hAnsi="Arial" w:eastAsia="Arial" w:cs="Arial"/>
                <w:color w:val="000000"/>
                <w:sz w:val="18"/>
              </w:rPr>
            </w:pPr>
          </w:p>
        </w:tc>
        <w:tc>
          <w:tcPr>
            <w:tcW w:w="680" w:type="dxa"/>
            <w:vAlign w:val="top"/>
          </w:tcPr>
          <w:p>
            <w:pPr>
              <w:spacing w:before="40" w:after="40"/>
              <w:ind w:left="40" w:right="40"/>
              <w:jc w:val="left"/>
              <w:rPr>
                <w:rFonts w:hint="eastAsia" w:ascii="Arial" w:hAnsi="Arial" w:eastAsia="Arial" w:cs="Arial"/>
                <w:color w:val="000000"/>
                <w:sz w:val="18"/>
              </w:rPr>
            </w:pPr>
          </w:p>
        </w:tc>
        <w:tc>
          <w:tcPr>
            <w:tcW w:w="907" w:type="dxa"/>
            <w:vAlign w:val="top"/>
          </w:tcPr>
          <w:p>
            <w:pPr>
              <w:spacing w:before="40" w:after="40"/>
              <w:ind w:left="40" w:right="40"/>
              <w:jc w:val="left"/>
              <w:rPr>
                <w:rFonts w:hint="eastAsia" w:ascii="Arial" w:hAnsi="Arial" w:eastAsia="Arial" w:cs="Arial"/>
                <w:color w:val="000000"/>
                <w:sz w:val="18"/>
              </w:rPr>
            </w:pPr>
          </w:p>
        </w:tc>
        <w:tc>
          <w:tcPr>
            <w:tcW w:w="2608" w:type="dxa"/>
            <w:vAlign w:val="top"/>
          </w:tcPr>
          <w:p>
            <w:pPr>
              <w:spacing w:before="40" w:after="40"/>
              <w:ind w:left="40" w:right="40"/>
              <w:jc w:val="left"/>
              <w:rPr>
                <w:rFonts w:hint="eastAsia" w:ascii="Arial" w:hAnsi="Arial" w:eastAsia="Arial" w:cs="Arial"/>
                <w:color w:val="000000"/>
                <w:sz w:val="18"/>
              </w:rPr>
            </w:pPr>
          </w:p>
        </w:tc>
      </w:tr>
      <w:tr>
        <w:tblPrEx>
          <w:tblCellMar>
            <w:top w:w="0" w:type="dxa"/>
            <w:left w:w="0" w:type="dxa"/>
            <w:bottom w:w="0" w:type="dxa"/>
            <w:right w:w="0" w:type="dxa"/>
          </w:tblCellMar>
        </w:tblPrEx>
        <w:trPr>
          <w:trHeight w:val="907" w:hRule="atLeast"/>
        </w:trPr>
        <w:tc>
          <w:tcPr>
            <w:tcW w:w="15910" w:type="dxa"/>
            <w:gridSpan w:val="11"/>
            <w:vAlign w:val="center"/>
          </w:tcPr>
          <w:p>
            <w:pPr>
              <w:spacing w:before="40" w:after="40"/>
              <w:ind w:left="40" w:right="40"/>
              <w:jc w:val="center"/>
              <w:rPr>
                <w:rFonts w:hint="eastAsia" w:ascii="黑体" w:hAnsi="黑体" w:eastAsia="黑体" w:cs="黑体"/>
                <w:b/>
                <w:color w:val="000000"/>
                <w:sz w:val="32"/>
              </w:rPr>
            </w:pPr>
            <w:r>
              <w:rPr>
                <w:rFonts w:hint="eastAsia" w:ascii="黑体" w:hAnsi="黑体" w:eastAsia="黑体" w:cs="黑体"/>
                <w:b/>
                <w:color w:val="000000"/>
                <w:sz w:val="32"/>
              </w:rPr>
              <w:t>部门预算项目支出绩效自评表（2023年度）</w:t>
            </w:r>
          </w:p>
        </w:tc>
      </w:tr>
      <w:tr>
        <w:tblPrEx>
          <w:tblCellMar>
            <w:top w:w="0" w:type="dxa"/>
            <w:left w:w="0" w:type="dxa"/>
            <w:bottom w:w="0" w:type="dxa"/>
            <w:right w:w="0" w:type="dxa"/>
          </w:tblCellMar>
        </w:tblPrEx>
        <w:trPr>
          <w:trHeight w:val="424" w:hRule="atLeast"/>
        </w:trPr>
        <w:tc>
          <w:tcPr>
            <w:tcW w:w="9561" w:type="dxa"/>
            <w:gridSpan w:val="7"/>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单位(盖章)：中共绵阳市委政法委员会</w:t>
            </w:r>
          </w:p>
        </w:tc>
        <w:tc>
          <w:tcPr>
            <w:tcW w:w="2154" w:type="dxa"/>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填报日期：</w:t>
            </w:r>
          </w:p>
        </w:tc>
        <w:tc>
          <w:tcPr>
            <w:tcW w:w="4195" w:type="dxa"/>
            <w:gridSpan w:val="3"/>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2024年5月31日</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项目名称</w:t>
            </w:r>
          </w:p>
        </w:tc>
        <w:tc>
          <w:tcPr>
            <w:tcW w:w="12698" w:type="dxa"/>
            <w:gridSpan w:val="9"/>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绵阳市社会治理综合平台第二期（讨论桌采购）</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主管部门及代码</w:t>
            </w:r>
          </w:p>
        </w:tc>
        <w:tc>
          <w:tcPr>
            <w:tcW w:w="6349"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302-中共绵阳市委政法委员会本级部门</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实施单位</w:t>
            </w:r>
          </w:p>
        </w:tc>
        <w:tc>
          <w:tcPr>
            <w:tcW w:w="4195"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中共绵阳市委政法委员会</w:t>
            </w:r>
          </w:p>
        </w:tc>
      </w:tr>
      <w:tr>
        <w:tblPrEx>
          <w:tblCellMar>
            <w:top w:w="0" w:type="dxa"/>
            <w:left w:w="0" w:type="dxa"/>
            <w:bottom w:w="0" w:type="dxa"/>
            <w:right w:w="0" w:type="dxa"/>
          </w:tblCellMar>
        </w:tblPrEx>
        <w:trPr>
          <w:trHeight w:val="453"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项目资金使用情况（10分）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资金来源</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全年预算数</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调整后预算数</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全年执行数</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自评得分</w:t>
            </w:r>
          </w:p>
        </w:tc>
        <w:tc>
          <w:tcPr>
            <w:tcW w:w="3515"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年度资金总额（万元）</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5.15</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5.15</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w:t>
            </w:r>
          </w:p>
        </w:tc>
        <w:tc>
          <w:tcPr>
            <w:tcW w:w="3515" w:type="dxa"/>
            <w:gridSpan w:val="2"/>
            <w:vMerge w:val="restart"/>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预算执行率较低原因：由于需求减少，因此指标有剩余，剩余金额包含质保金； 预算调整(调增/调减)原因：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其中：中央、省补助</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市级财政资金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5.15</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5.15</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县级财政资金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其他资金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年度总体目标</w:t>
            </w:r>
          </w:p>
        </w:tc>
        <w:tc>
          <w:tcPr>
            <w:tcW w:w="8617"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预期目标</w:t>
            </w:r>
          </w:p>
        </w:tc>
        <w:tc>
          <w:tcPr>
            <w:tcW w:w="6349" w:type="dxa"/>
            <w:gridSpan w:val="4"/>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实际完成情况</w:t>
            </w:r>
          </w:p>
        </w:tc>
      </w:tr>
      <w:tr>
        <w:tblPrEx>
          <w:tblCellMar>
            <w:top w:w="0" w:type="dxa"/>
            <w:left w:w="0" w:type="dxa"/>
            <w:bottom w:w="0" w:type="dxa"/>
            <w:right w:w="0" w:type="dxa"/>
          </w:tblCellMar>
        </w:tblPrEx>
        <w:trPr>
          <w:trHeight w:val="680"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8617" w:type="dxa"/>
            <w:gridSpan w:val="6"/>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绵阳市社会治理综合平台第二期（讨论桌采购）</w:t>
            </w:r>
          </w:p>
        </w:tc>
        <w:tc>
          <w:tcPr>
            <w:tcW w:w="6349" w:type="dxa"/>
            <w:gridSpan w:val="4"/>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绵阳市社会治理综合平台第二期（讨论桌采购）</w:t>
            </w: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决策与过程指标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（100分）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分值</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计算过程及得分依据</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（54分）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项目立项</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依据充分性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程序规范性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目标设置</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绩效目标完整性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绩效指标细化量化</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资金预算</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预算编制匹配</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资金分配合理性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过程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（46分）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项目管理制度健全性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项目质量可控性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资金使用合规性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财务监督检查</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451"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指标性质</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度量单位</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权重</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未完成原因分析</w:t>
            </w:r>
          </w:p>
        </w:tc>
      </w:tr>
      <w:tr>
        <w:tblPrEx>
          <w:tblCellMar>
            <w:top w:w="0" w:type="dxa"/>
            <w:left w:w="0" w:type="dxa"/>
            <w:bottom w:w="0" w:type="dxa"/>
            <w:right w:w="0" w:type="dxa"/>
          </w:tblCellMar>
        </w:tblPrEx>
        <w:trPr>
          <w:trHeight w:val="424"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绩效指标（90分）</w:t>
            </w: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产出指标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数量指标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绵阳市社会治理综合平台第二期（讨论桌采购）</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时效指标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12月31日</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效益指标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社会效益指标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社会治理现代化平台项目为绵阳市政法委在市域社会治理领域的重大项目,能够实现对多部门业务数据的汇聚和充分利用，具备全面的数据汇聚及应用能力、全程的事件处置能力、全局的指挥调度能力、全域的预警研判能力，有效推动社会治理现代化建设，为政府信息资源共享带来示范效应。</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服务对象满意度指标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社会治理现代化平台项目为绵阳市政法委在市域社会治理领域的重大项目,能够实现对多部门业务数据的汇聚和充分利用，具备全面的数据汇聚及应用能力、全程的事件处置能力、全局的指挥调度能力、全域的预警研判能力，有效推动社会治理现代化建设，为政府信息资源共享带来示范效应。</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自评折算后总分(分值折算方式：“决策与过程指标”赋值100分按30%折算，“预算执行率和绩效指标”赋值100分按70%折算)：</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93.00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评价结论</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根据该项目决策及过程管理、预算执行率及绩效目标实现程度指标自评得分93.00分，自评等次为：优。绵阳市社会治理综合平台第二期（讨论桌采购）由于需求减少，因此指标有剩余，剩余金额包含质保金</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存在问题</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改进措施</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425" w:hRule="atLeast"/>
        </w:trPr>
        <w:tc>
          <w:tcPr>
            <w:tcW w:w="7747"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项目负责人：陈全</w:t>
            </w:r>
          </w:p>
        </w:tc>
        <w:tc>
          <w:tcPr>
            <w:tcW w:w="8163"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财务负责人：文颢源</w:t>
            </w:r>
          </w:p>
        </w:tc>
      </w:tr>
      <w:tr>
        <w:tblPrEx>
          <w:tblCellMar>
            <w:top w:w="0" w:type="dxa"/>
            <w:left w:w="0" w:type="dxa"/>
            <w:bottom w:w="0" w:type="dxa"/>
            <w:right w:w="0" w:type="dxa"/>
          </w:tblCellMar>
        </w:tblPrEx>
        <w:trPr>
          <w:trHeight w:val="425" w:hRule="atLeast"/>
        </w:trPr>
        <w:tc>
          <w:tcPr>
            <w:tcW w:w="944" w:type="dxa"/>
            <w:vAlign w:val="top"/>
          </w:tcPr>
          <w:p>
            <w:pPr>
              <w:spacing w:before="40" w:after="40"/>
              <w:ind w:left="40" w:right="40"/>
              <w:jc w:val="left"/>
              <w:rPr>
                <w:rFonts w:hint="eastAsia" w:ascii="Arial" w:hAnsi="Arial" w:eastAsia="Arial" w:cs="Arial"/>
                <w:color w:val="000000"/>
                <w:sz w:val="18"/>
              </w:rPr>
            </w:pPr>
          </w:p>
        </w:tc>
        <w:tc>
          <w:tcPr>
            <w:tcW w:w="2268" w:type="dxa"/>
            <w:vAlign w:val="top"/>
          </w:tcPr>
          <w:p>
            <w:pPr>
              <w:spacing w:before="40" w:after="40"/>
              <w:ind w:left="40" w:right="40"/>
              <w:jc w:val="left"/>
              <w:rPr>
                <w:rFonts w:hint="eastAsia" w:ascii="Arial" w:hAnsi="Arial" w:eastAsia="Arial" w:cs="Arial"/>
                <w:color w:val="000000"/>
                <w:sz w:val="18"/>
              </w:rPr>
            </w:pPr>
          </w:p>
        </w:tc>
        <w:tc>
          <w:tcPr>
            <w:tcW w:w="1587" w:type="dxa"/>
            <w:vAlign w:val="top"/>
          </w:tcPr>
          <w:p>
            <w:pPr>
              <w:spacing w:before="40" w:after="40"/>
              <w:ind w:left="40" w:right="40"/>
              <w:jc w:val="left"/>
              <w:rPr>
                <w:rFonts w:hint="eastAsia" w:ascii="Arial" w:hAnsi="Arial" w:eastAsia="Arial" w:cs="Arial"/>
                <w:color w:val="000000"/>
                <w:sz w:val="18"/>
              </w:rPr>
            </w:pPr>
          </w:p>
        </w:tc>
        <w:tc>
          <w:tcPr>
            <w:tcW w:w="2381"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1247"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2154" w:type="dxa"/>
            <w:vAlign w:val="top"/>
          </w:tcPr>
          <w:p>
            <w:pPr>
              <w:spacing w:before="40" w:after="40"/>
              <w:ind w:left="40" w:right="40"/>
              <w:jc w:val="left"/>
              <w:rPr>
                <w:rFonts w:hint="eastAsia" w:ascii="Arial" w:hAnsi="Arial" w:eastAsia="Arial" w:cs="Arial"/>
                <w:color w:val="000000"/>
                <w:sz w:val="18"/>
              </w:rPr>
            </w:pPr>
          </w:p>
        </w:tc>
        <w:tc>
          <w:tcPr>
            <w:tcW w:w="680" w:type="dxa"/>
            <w:vAlign w:val="top"/>
          </w:tcPr>
          <w:p>
            <w:pPr>
              <w:spacing w:before="40" w:after="40"/>
              <w:ind w:left="40" w:right="40"/>
              <w:jc w:val="left"/>
              <w:rPr>
                <w:rFonts w:hint="eastAsia" w:ascii="Arial" w:hAnsi="Arial" w:eastAsia="Arial" w:cs="Arial"/>
                <w:color w:val="000000"/>
                <w:sz w:val="18"/>
              </w:rPr>
            </w:pPr>
          </w:p>
        </w:tc>
        <w:tc>
          <w:tcPr>
            <w:tcW w:w="907" w:type="dxa"/>
            <w:vAlign w:val="top"/>
          </w:tcPr>
          <w:p>
            <w:pPr>
              <w:spacing w:before="40" w:after="40"/>
              <w:ind w:left="40" w:right="40"/>
              <w:jc w:val="left"/>
              <w:rPr>
                <w:rFonts w:hint="eastAsia" w:ascii="Arial" w:hAnsi="Arial" w:eastAsia="Arial" w:cs="Arial"/>
                <w:color w:val="000000"/>
                <w:sz w:val="18"/>
              </w:rPr>
            </w:pPr>
          </w:p>
        </w:tc>
        <w:tc>
          <w:tcPr>
            <w:tcW w:w="2608" w:type="dxa"/>
            <w:vAlign w:val="top"/>
          </w:tcPr>
          <w:p>
            <w:pPr>
              <w:spacing w:before="40" w:after="40"/>
              <w:ind w:left="40" w:right="40"/>
              <w:jc w:val="left"/>
              <w:rPr>
                <w:rFonts w:hint="eastAsia" w:ascii="Arial" w:hAnsi="Arial" w:eastAsia="Arial" w:cs="Arial"/>
                <w:color w:val="000000"/>
                <w:sz w:val="18"/>
              </w:rPr>
            </w:pPr>
          </w:p>
        </w:tc>
      </w:tr>
      <w:tr>
        <w:tblPrEx>
          <w:tblCellMar>
            <w:top w:w="0" w:type="dxa"/>
            <w:left w:w="0" w:type="dxa"/>
            <w:bottom w:w="0" w:type="dxa"/>
            <w:right w:w="0" w:type="dxa"/>
          </w:tblCellMar>
        </w:tblPrEx>
        <w:trPr>
          <w:trHeight w:val="907" w:hRule="atLeast"/>
        </w:trPr>
        <w:tc>
          <w:tcPr>
            <w:tcW w:w="15910" w:type="dxa"/>
            <w:gridSpan w:val="11"/>
            <w:vAlign w:val="center"/>
          </w:tcPr>
          <w:p>
            <w:pPr>
              <w:spacing w:before="40" w:after="40"/>
              <w:ind w:left="40" w:right="40"/>
              <w:jc w:val="center"/>
              <w:rPr>
                <w:rFonts w:hint="eastAsia" w:ascii="黑体" w:hAnsi="黑体" w:eastAsia="黑体" w:cs="黑体"/>
                <w:b/>
                <w:color w:val="000000"/>
                <w:sz w:val="32"/>
              </w:rPr>
            </w:pPr>
            <w:r>
              <w:rPr>
                <w:rFonts w:hint="eastAsia" w:ascii="黑体" w:hAnsi="黑体" w:eastAsia="黑体" w:cs="黑体"/>
                <w:b/>
                <w:color w:val="000000"/>
                <w:sz w:val="32"/>
              </w:rPr>
              <w:t>部门预算项目支出绩效自评表（2023年度）</w:t>
            </w:r>
          </w:p>
        </w:tc>
      </w:tr>
      <w:tr>
        <w:tblPrEx>
          <w:tblCellMar>
            <w:top w:w="0" w:type="dxa"/>
            <w:left w:w="0" w:type="dxa"/>
            <w:bottom w:w="0" w:type="dxa"/>
            <w:right w:w="0" w:type="dxa"/>
          </w:tblCellMar>
        </w:tblPrEx>
        <w:trPr>
          <w:trHeight w:val="424" w:hRule="atLeast"/>
        </w:trPr>
        <w:tc>
          <w:tcPr>
            <w:tcW w:w="9561" w:type="dxa"/>
            <w:gridSpan w:val="7"/>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单位(盖章)：中共绵阳市委政法委员会</w:t>
            </w:r>
          </w:p>
        </w:tc>
        <w:tc>
          <w:tcPr>
            <w:tcW w:w="2154" w:type="dxa"/>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填报日期：</w:t>
            </w:r>
          </w:p>
        </w:tc>
        <w:tc>
          <w:tcPr>
            <w:tcW w:w="4195" w:type="dxa"/>
            <w:gridSpan w:val="3"/>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2024年5月31日</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项目名称</w:t>
            </w:r>
          </w:p>
        </w:tc>
        <w:tc>
          <w:tcPr>
            <w:tcW w:w="12698" w:type="dxa"/>
            <w:gridSpan w:val="9"/>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绵阳市社会治理综合平台第二期项目</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主管部门及代码</w:t>
            </w:r>
          </w:p>
        </w:tc>
        <w:tc>
          <w:tcPr>
            <w:tcW w:w="6349"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302-中共绵阳市委政法委员会本级部门</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实施单位</w:t>
            </w:r>
          </w:p>
        </w:tc>
        <w:tc>
          <w:tcPr>
            <w:tcW w:w="4195"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中共绵阳市委政法委员会</w:t>
            </w:r>
          </w:p>
        </w:tc>
      </w:tr>
      <w:tr>
        <w:tblPrEx>
          <w:tblCellMar>
            <w:top w:w="0" w:type="dxa"/>
            <w:left w:w="0" w:type="dxa"/>
            <w:bottom w:w="0" w:type="dxa"/>
            <w:right w:w="0" w:type="dxa"/>
          </w:tblCellMar>
        </w:tblPrEx>
        <w:trPr>
          <w:trHeight w:val="453"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项目资金使用情况（10分）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资金来源</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全年预算数</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调整后预算数</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全年执行数</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自评得分</w:t>
            </w:r>
          </w:p>
        </w:tc>
        <w:tc>
          <w:tcPr>
            <w:tcW w:w="3515"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年度资金总额（万元）</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368.00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368.00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3515" w:type="dxa"/>
            <w:gridSpan w:val="2"/>
            <w:vMerge w:val="restart"/>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预算执行率较低原因：； 预算调整(调增/调减)原因：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其中：中央、省补助</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市级财政资金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368.00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368.00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县级财政资金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其他资金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年度总体目标</w:t>
            </w:r>
          </w:p>
        </w:tc>
        <w:tc>
          <w:tcPr>
            <w:tcW w:w="8617"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预期目标</w:t>
            </w:r>
          </w:p>
        </w:tc>
        <w:tc>
          <w:tcPr>
            <w:tcW w:w="6349" w:type="dxa"/>
            <w:gridSpan w:val="4"/>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实际完成情况</w:t>
            </w:r>
          </w:p>
        </w:tc>
      </w:tr>
      <w:tr>
        <w:tblPrEx>
          <w:tblCellMar>
            <w:top w:w="0" w:type="dxa"/>
            <w:left w:w="0" w:type="dxa"/>
            <w:bottom w:w="0" w:type="dxa"/>
            <w:right w:w="0" w:type="dxa"/>
          </w:tblCellMar>
        </w:tblPrEx>
        <w:trPr>
          <w:trHeight w:val="680"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8617" w:type="dxa"/>
            <w:gridSpan w:val="6"/>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绵阳市社会治理综合平台第二期项目</w:t>
            </w:r>
          </w:p>
        </w:tc>
        <w:tc>
          <w:tcPr>
            <w:tcW w:w="6349" w:type="dxa"/>
            <w:gridSpan w:val="4"/>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绵阳市社会治理综合平台第二期项目</w:t>
            </w: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决策与过程指标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（100分）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分值</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计算过程及得分依据</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（54分）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项目立项</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依据充分性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程序规范性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目标设置</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绩效目标完整性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绩效指标细化量化</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资金预算</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预算编制匹配</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资金分配合理性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过程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（46分）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项目管理制度健全性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项目质量可控性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资金使用合规性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财务监督检查</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451"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指标性质</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度量单位</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权重</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未完成原因分析</w:t>
            </w:r>
          </w:p>
        </w:tc>
      </w:tr>
      <w:tr>
        <w:tblPrEx>
          <w:tblCellMar>
            <w:top w:w="0" w:type="dxa"/>
            <w:left w:w="0" w:type="dxa"/>
            <w:bottom w:w="0" w:type="dxa"/>
            <w:right w:w="0" w:type="dxa"/>
          </w:tblCellMar>
        </w:tblPrEx>
        <w:trPr>
          <w:trHeight w:val="424"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绩效指标（90分）</w:t>
            </w: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产出指标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数量指标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推进绵阳市社会治理综合平台第二期项目</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时效指标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12月31日</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效益指标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社会效益指标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绵阳市社会治理综合平台第二期项目</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368</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万元</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服务对象满意度指标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社会治理现代化平台项目为绵阳市政法委在市域社会治理领域的重大项目,能够实现对多部门业务数据的汇聚和充分利用，具备全面的数据汇聚及应用能力、全程的事件处置能力、全局的指挥调度能力、全域的预警研判能力，有效推动社会治理现代化建设，为政府信息资源共享带来示范效应。</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自评折算后总分(分值折算方式：“决策与过程指标”赋值100分按30%折算，“预算执行率和绩效指标”赋值100分按70%折算)：</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评价结论</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根据该项目决策及过程管理、预算执行率及绩效目标实现程度指标自评得分100.00分，自评等次为：优。完成二期项目采购支付</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存在问题</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改进措施</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425" w:hRule="atLeast"/>
        </w:trPr>
        <w:tc>
          <w:tcPr>
            <w:tcW w:w="7747"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项目负责人：陈全</w:t>
            </w:r>
          </w:p>
        </w:tc>
        <w:tc>
          <w:tcPr>
            <w:tcW w:w="8163"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财务负责人：文颢源</w:t>
            </w:r>
          </w:p>
        </w:tc>
      </w:tr>
      <w:tr>
        <w:tblPrEx>
          <w:tblCellMar>
            <w:top w:w="0" w:type="dxa"/>
            <w:left w:w="0" w:type="dxa"/>
            <w:bottom w:w="0" w:type="dxa"/>
            <w:right w:w="0" w:type="dxa"/>
          </w:tblCellMar>
        </w:tblPrEx>
        <w:trPr>
          <w:trHeight w:val="425" w:hRule="atLeast"/>
        </w:trPr>
        <w:tc>
          <w:tcPr>
            <w:tcW w:w="944" w:type="dxa"/>
            <w:vAlign w:val="top"/>
          </w:tcPr>
          <w:p>
            <w:pPr>
              <w:spacing w:before="40" w:after="40"/>
              <w:ind w:left="40" w:right="40"/>
              <w:jc w:val="left"/>
              <w:rPr>
                <w:rFonts w:hint="eastAsia" w:ascii="Arial" w:hAnsi="Arial" w:eastAsia="Arial" w:cs="Arial"/>
                <w:color w:val="000000"/>
                <w:sz w:val="18"/>
              </w:rPr>
            </w:pPr>
          </w:p>
        </w:tc>
        <w:tc>
          <w:tcPr>
            <w:tcW w:w="2268" w:type="dxa"/>
            <w:vAlign w:val="top"/>
          </w:tcPr>
          <w:p>
            <w:pPr>
              <w:spacing w:before="40" w:after="40"/>
              <w:ind w:left="40" w:right="40"/>
              <w:jc w:val="left"/>
              <w:rPr>
                <w:rFonts w:hint="eastAsia" w:ascii="Arial" w:hAnsi="Arial" w:eastAsia="Arial" w:cs="Arial"/>
                <w:color w:val="000000"/>
                <w:sz w:val="18"/>
              </w:rPr>
            </w:pPr>
          </w:p>
        </w:tc>
        <w:tc>
          <w:tcPr>
            <w:tcW w:w="1587" w:type="dxa"/>
            <w:vAlign w:val="top"/>
          </w:tcPr>
          <w:p>
            <w:pPr>
              <w:spacing w:before="40" w:after="40"/>
              <w:ind w:left="40" w:right="40"/>
              <w:jc w:val="left"/>
              <w:rPr>
                <w:rFonts w:hint="eastAsia" w:ascii="Arial" w:hAnsi="Arial" w:eastAsia="Arial" w:cs="Arial"/>
                <w:color w:val="000000"/>
                <w:sz w:val="18"/>
              </w:rPr>
            </w:pPr>
          </w:p>
        </w:tc>
        <w:tc>
          <w:tcPr>
            <w:tcW w:w="2381"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1247"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2154" w:type="dxa"/>
            <w:vAlign w:val="top"/>
          </w:tcPr>
          <w:p>
            <w:pPr>
              <w:spacing w:before="40" w:after="40"/>
              <w:ind w:left="40" w:right="40"/>
              <w:jc w:val="left"/>
              <w:rPr>
                <w:rFonts w:hint="eastAsia" w:ascii="Arial" w:hAnsi="Arial" w:eastAsia="Arial" w:cs="Arial"/>
                <w:color w:val="000000"/>
                <w:sz w:val="18"/>
              </w:rPr>
            </w:pPr>
          </w:p>
        </w:tc>
        <w:tc>
          <w:tcPr>
            <w:tcW w:w="680" w:type="dxa"/>
            <w:vAlign w:val="top"/>
          </w:tcPr>
          <w:p>
            <w:pPr>
              <w:spacing w:before="40" w:after="40"/>
              <w:ind w:left="40" w:right="40"/>
              <w:jc w:val="left"/>
              <w:rPr>
                <w:rFonts w:hint="eastAsia" w:ascii="Arial" w:hAnsi="Arial" w:eastAsia="Arial" w:cs="Arial"/>
                <w:color w:val="000000"/>
                <w:sz w:val="18"/>
              </w:rPr>
            </w:pPr>
          </w:p>
        </w:tc>
        <w:tc>
          <w:tcPr>
            <w:tcW w:w="907" w:type="dxa"/>
            <w:vAlign w:val="top"/>
          </w:tcPr>
          <w:p>
            <w:pPr>
              <w:spacing w:before="40" w:after="40"/>
              <w:ind w:left="40" w:right="40"/>
              <w:jc w:val="left"/>
              <w:rPr>
                <w:rFonts w:hint="eastAsia" w:ascii="Arial" w:hAnsi="Arial" w:eastAsia="Arial" w:cs="Arial"/>
                <w:color w:val="000000"/>
                <w:sz w:val="18"/>
              </w:rPr>
            </w:pPr>
          </w:p>
        </w:tc>
        <w:tc>
          <w:tcPr>
            <w:tcW w:w="2608" w:type="dxa"/>
            <w:vAlign w:val="top"/>
          </w:tcPr>
          <w:p>
            <w:pPr>
              <w:spacing w:before="40" w:after="40"/>
              <w:ind w:left="40" w:right="40"/>
              <w:jc w:val="left"/>
              <w:rPr>
                <w:rFonts w:hint="eastAsia" w:ascii="Arial" w:hAnsi="Arial" w:eastAsia="Arial" w:cs="Arial"/>
                <w:color w:val="000000"/>
                <w:sz w:val="18"/>
              </w:rPr>
            </w:pPr>
          </w:p>
        </w:tc>
      </w:tr>
      <w:tr>
        <w:tblPrEx>
          <w:tblCellMar>
            <w:top w:w="0" w:type="dxa"/>
            <w:left w:w="0" w:type="dxa"/>
            <w:bottom w:w="0" w:type="dxa"/>
            <w:right w:w="0" w:type="dxa"/>
          </w:tblCellMar>
        </w:tblPrEx>
        <w:trPr>
          <w:trHeight w:val="907" w:hRule="atLeast"/>
        </w:trPr>
        <w:tc>
          <w:tcPr>
            <w:tcW w:w="15910" w:type="dxa"/>
            <w:gridSpan w:val="11"/>
            <w:vAlign w:val="center"/>
          </w:tcPr>
          <w:p>
            <w:pPr>
              <w:spacing w:before="40" w:after="40"/>
              <w:ind w:left="40" w:right="40"/>
              <w:jc w:val="center"/>
              <w:rPr>
                <w:rFonts w:hint="eastAsia" w:ascii="黑体" w:hAnsi="黑体" w:eastAsia="黑体" w:cs="黑体"/>
                <w:b/>
                <w:color w:val="000000"/>
                <w:sz w:val="32"/>
              </w:rPr>
            </w:pPr>
            <w:r>
              <w:rPr>
                <w:rFonts w:hint="eastAsia" w:ascii="黑体" w:hAnsi="黑体" w:eastAsia="黑体" w:cs="黑体"/>
                <w:b/>
                <w:color w:val="000000"/>
                <w:sz w:val="32"/>
              </w:rPr>
              <w:t>部门预算项目支出绩效自评表（2023年度）</w:t>
            </w:r>
          </w:p>
        </w:tc>
      </w:tr>
      <w:tr>
        <w:tblPrEx>
          <w:tblCellMar>
            <w:top w:w="0" w:type="dxa"/>
            <w:left w:w="0" w:type="dxa"/>
            <w:bottom w:w="0" w:type="dxa"/>
            <w:right w:w="0" w:type="dxa"/>
          </w:tblCellMar>
        </w:tblPrEx>
        <w:trPr>
          <w:trHeight w:val="424" w:hRule="atLeast"/>
        </w:trPr>
        <w:tc>
          <w:tcPr>
            <w:tcW w:w="9561" w:type="dxa"/>
            <w:gridSpan w:val="7"/>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单位(盖章)：中共绵阳市委政法委员会</w:t>
            </w:r>
          </w:p>
        </w:tc>
        <w:tc>
          <w:tcPr>
            <w:tcW w:w="2154" w:type="dxa"/>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填报日期：</w:t>
            </w:r>
          </w:p>
        </w:tc>
        <w:tc>
          <w:tcPr>
            <w:tcW w:w="4195" w:type="dxa"/>
            <w:gridSpan w:val="3"/>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2024年5月31日</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项目名称</w:t>
            </w:r>
          </w:p>
        </w:tc>
        <w:tc>
          <w:tcPr>
            <w:tcW w:w="12698" w:type="dxa"/>
            <w:gridSpan w:val="9"/>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绵阳市社会治理综合平台第二期项目监理服务</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主管部门及代码</w:t>
            </w:r>
          </w:p>
        </w:tc>
        <w:tc>
          <w:tcPr>
            <w:tcW w:w="6349"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302-中共绵阳市委政法委员会本级部门</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实施单位</w:t>
            </w:r>
          </w:p>
        </w:tc>
        <w:tc>
          <w:tcPr>
            <w:tcW w:w="4195"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中共绵阳市委政法委员会</w:t>
            </w:r>
          </w:p>
        </w:tc>
      </w:tr>
      <w:tr>
        <w:tblPrEx>
          <w:tblCellMar>
            <w:top w:w="0" w:type="dxa"/>
            <w:left w:w="0" w:type="dxa"/>
            <w:bottom w:w="0" w:type="dxa"/>
            <w:right w:w="0" w:type="dxa"/>
          </w:tblCellMar>
        </w:tblPrEx>
        <w:trPr>
          <w:trHeight w:val="453"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项目资金使用情况（10分）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资金来源</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全年预算数</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调整后预算数</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全年执行数</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自评得分</w:t>
            </w:r>
          </w:p>
        </w:tc>
        <w:tc>
          <w:tcPr>
            <w:tcW w:w="3515"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年度资金总额（万元）</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13.80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w:t>
            </w:r>
          </w:p>
        </w:tc>
        <w:tc>
          <w:tcPr>
            <w:tcW w:w="3515" w:type="dxa"/>
            <w:gridSpan w:val="2"/>
            <w:vMerge w:val="restart"/>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预算执行率较低原因：监理公司服务未完成，因此未支付款项； 预算调整(调增/调减)原因：绵阳市社会治理综合平台第二期项目监理服务</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其中：中央、省补助</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市级财政资金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13.80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县级财政资金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其他资金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年度总体目标</w:t>
            </w:r>
          </w:p>
        </w:tc>
        <w:tc>
          <w:tcPr>
            <w:tcW w:w="8617"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预期目标</w:t>
            </w:r>
          </w:p>
        </w:tc>
        <w:tc>
          <w:tcPr>
            <w:tcW w:w="6349" w:type="dxa"/>
            <w:gridSpan w:val="4"/>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实际完成情况</w:t>
            </w:r>
          </w:p>
        </w:tc>
      </w:tr>
      <w:tr>
        <w:tblPrEx>
          <w:tblCellMar>
            <w:top w:w="0" w:type="dxa"/>
            <w:left w:w="0" w:type="dxa"/>
            <w:bottom w:w="0" w:type="dxa"/>
            <w:right w:w="0" w:type="dxa"/>
          </w:tblCellMar>
        </w:tblPrEx>
        <w:trPr>
          <w:trHeight w:val="680"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8617" w:type="dxa"/>
            <w:gridSpan w:val="6"/>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绵阳市社会治理综合平台第二期项目监理服务</w:t>
            </w:r>
          </w:p>
        </w:tc>
        <w:tc>
          <w:tcPr>
            <w:tcW w:w="6349" w:type="dxa"/>
            <w:gridSpan w:val="4"/>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绵阳市社会治理综合平台第二期项目监理服务</w:t>
            </w: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决策与过程指标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（100分）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分值</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计算过程及得分依据</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（54分）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项目立项</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依据充分性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程序规范性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目标设置</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绩效目标完整性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绩效指标细化量化</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资金预算</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预算编制匹配</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资金分配合理性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过程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（46分）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项目管理制度健全性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项目质量可控性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资金使用合规性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财务监督检查</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451"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指标性质</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度量单位</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权重</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未完成原因分析</w:t>
            </w:r>
          </w:p>
        </w:tc>
      </w:tr>
      <w:tr>
        <w:tblPrEx>
          <w:tblCellMar>
            <w:top w:w="0" w:type="dxa"/>
            <w:left w:w="0" w:type="dxa"/>
            <w:bottom w:w="0" w:type="dxa"/>
            <w:right w:w="0" w:type="dxa"/>
          </w:tblCellMar>
        </w:tblPrEx>
        <w:trPr>
          <w:trHeight w:val="424"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绩效指标（90分）</w:t>
            </w: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产出指标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数量指标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绵阳市社会治理综合平台第二期项目监理服务</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时效指标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12月31日</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效益指标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社会效益指标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社会治理现代化平台项目为绵阳市政法委在市域社会治理领域的重大项目,能够实现对多部门业务数据的汇聚和充分利用，具备全面的数据汇聚及应用能力、全程的事件处置能力、全局的指挥调度能力、全域的预警研判能力，有效推动社会治理现代化建设，为政府信息资源共享带来示范效应。</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服务对象满意度指标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绵阳社会治理现代化平台项目为绵阳市政法委在市域社会治理领域的重大项目,能够实现对多部门业务数据的汇聚和充分利用，具备全面的数据汇聚及应用能力、全程的事件处置能力、全局的指挥调度能力、全域的预警研判能力，有效推动社会治理现代化建设，为政府信息资源共享带来示范效应。</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自评折算后总分(分值折算方式：“决策与过程指标”赋值100分按30%折算，“预算执行率和绩效指标”赋值100分按70%折算)：</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93.00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评价结论</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根据该项目决策及过程管理、预算执行率及绩效目标实现程度指标自评得分93.00分，自评等次为：优。绵阳市社会治理综合平台第二期项目监理服务未完成服务，因此未支付款项</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存在问题</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改进措施</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425" w:hRule="atLeast"/>
        </w:trPr>
        <w:tc>
          <w:tcPr>
            <w:tcW w:w="7747"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项目负责人：陈全</w:t>
            </w:r>
          </w:p>
        </w:tc>
        <w:tc>
          <w:tcPr>
            <w:tcW w:w="8163"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财务负责人：文颢源</w:t>
            </w:r>
          </w:p>
        </w:tc>
      </w:tr>
      <w:tr>
        <w:tblPrEx>
          <w:tblCellMar>
            <w:top w:w="0" w:type="dxa"/>
            <w:left w:w="0" w:type="dxa"/>
            <w:bottom w:w="0" w:type="dxa"/>
            <w:right w:w="0" w:type="dxa"/>
          </w:tblCellMar>
        </w:tblPrEx>
        <w:trPr>
          <w:trHeight w:val="425" w:hRule="atLeast"/>
        </w:trPr>
        <w:tc>
          <w:tcPr>
            <w:tcW w:w="944" w:type="dxa"/>
            <w:vAlign w:val="top"/>
          </w:tcPr>
          <w:p>
            <w:pPr>
              <w:spacing w:before="40" w:after="40"/>
              <w:ind w:left="40" w:right="40"/>
              <w:jc w:val="left"/>
              <w:rPr>
                <w:rFonts w:hint="eastAsia" w:ascii="Arial" w:hAnsi="Arial" w:eastAsia="Arial" w:cs="Arial"/>
                <w:color w:val="000000"/>
                <w:sz w:val="18"/>
              </w:rPr>
            </w:pPr>
          </w:p>
        </w:tc>
        <w:tc>
          <w:tcPr>
            <w:tcW w:w="2268" w:type="dxa"/>
            <w:vAlign w:val="top"/>
          </w:tcPr>
          <w:p>
            <w:pPr>
              <w:spacing w:before="40" w:after="40"/>
              <w:ind w:left="40" w:right="40"/>
              <w:jc w:val="left"/>
              <w:rPr>
                <w:rFonts w:hint="eastAsia" w:ascii="Arial" w:hAnsi="Arial" w:eastAsia="Arial" w:cs="Arial"/>
                <w:color w:val="000000"/>
                <w:sz w:val="18"/>
              </w:rPr>
            </w:pPr>
          </w:p>
        </w:tc>
        <w:tc>
          <w:tcPr>
            <w:tcW w:w="1587" w:type="dxa"/>
            <w:vAlign w:val="top"/>
          </w:tcPr>
          <w:p>
            <w:pPr>
              <w:spacing w:before="40" w:after="40"/>
              <w:ind w:left="40" w:right="40"/>
              <w:jc w:val="left"/>
              <w:rPr>
                <w:rFonts w:hint="eastAsia" w:ascii="Arial" w:hAnsi="Arial" w:eastAsia="Arial" w:cs="Arial"/>
                <w:color w:val="000000"/>
                <w:sz w:val="18"/>
              </w:rPr>
            </w:pPr>
          </w:p>
        </w:tc>
        <w:tc>
          <w:tcPr>
            <w:tcW w:w="2381"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1247"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2154" w:type="dxa"/>
            <w:vAlign w:val="top"/>
          </w:tcPr>
          <w:p>
            <w:pPr>
              <w:spacing w:before="40" w:after="40"/>
              <w:ind w:left="40" w:right="40"/>
              <w:jc w:val="left"/>
              <w:rPr>
                <w:rFonts w:hint="eastAsia" w:ascii="Arial" w:hAnsi="Arial" w:eastAsia="Arial" w:cs="Arial"/>
                <w:color w:val="000000"/>
                <w:sz w:val="18"/>
              </w:rPr>
            </w:pPr>
          </w:p>
        </w:tc>
        <w:tc>
          <w:tcPr>
            <w:tcW w:w="680" w:type="dxa"/>
            <w:vAlign w:val="top"/>
          </w:tcPr>
          <w:p>
            <w:pPr>
              <w:spacing w:before="40" w:after="40"/>
              <w:ind w:left="40" w:right="40"/>
              <w:jc w:val="left"/>
              <w:rPr>
                <w:rFonts w:hint="eastAsia" w:ascii="Arial" w:hAnsi="Arial" w:eastAsia="Arial" w:cs="Arial"/>
                <w:color w:val="000000"/>
                <w:sz w:val="18"/>
              </w:rPr>
            </w:pPr>
          </w:p>
        </w:tc>
        <w:tc>
          <w:tcPr>
            <w:tcW w:w="907" w:type="dxa"/>
            <w:vAlign w:val="top"/>
          </w:tcPr>
          <w:p>
            <w:pPr>
              <w:spacing w:before="40" w:after="40"/>
              <w:ind w:left="40" w:right="40"/>
              <w:jc w:val="left"/>
              <w:rPr>
                <w:rFonts w:hint="eastAsia" w:ascii="Arial" w:hAnsi="Arial" w:eastAsia="Arial" w:cs="Arial"/>
                <w:color w:val="000000"/>
                <w:sz w:val="18"/>
              </w:rPr>
            </w:pPr>
          </w:p>
        </w:tc>
        <w:tc>
          <w:tcPr>
            <w:tcW w:w="2608" w:type="dxa"/>
            <w:vAlign w:val="top"/>
          </w:tcPr>
          <w:p>
            <w:pPr>
              <w:spacing w:before="40" w:after="40"/>
              <w:ind w:left="40" w:right="40"/>
              <w:jc w:val="left"/>
              <w:rPr>
                <w:rFonts w:hint="eastAsia" w:ascii="Arial" w:hAnsi="Arial" w:eastAsia="Arial" w:cs="Arial"/>
                <w:color w:val="000000"/>
                <w:sz w:val="18"/>
              </w:rPr>
            </w:pPr>
          </w:p>
        </w:tc>
      </w:tr>
      <w:tr>
        <w:tblPrEx>
          <w:tblCellMar>
            <w:top w:w="0" w:type="dxa"/>
            <w:left w:w="0" w:type="dxa"/>
            <w:bottom w:w="0" w:type="dxa"/>
            <w:right w:w="0" w:type="dxa"/>
          </w:tblCellMar>
        </w:tblPrEx>
        <w:trPr>
          <w:trHeight w:val="907" w:hRule="atLeast"/>
        </w:trPr>
        <w:tc>
          <w:tcPr>
            <w:tcW w:w="15910" w:type="dxa"/>
            <w:gridSpan w:val="11"/>
            <w:vAlign w:val="center"/>
          </w:tcPr>
          <w:p>
            <w:pPr>
              <w:spacing w:before="40" w:after="40"/>
              <w:ind w:left="40" w:right="40"/>
              <w:jc w:val="center"/>
              <w:rPr>
                <w:rFonts w:hint="eastAsia" w:ascii="黑体" w:hAnsi="黑体" w:eastAsia="黑体" w:cs="黑体"/>
                <w:b/>
                <w:color w:val="000000"/>
                <w:sz w:val="32"/>
              </w:rPr>
            </w:pPr>
            <w:r>
              <w:rPr>
                <w:rFonts w:hint="eastAsia" w:ascii="黑体" w:hAnsi="黑体" w:eastAsia="黑体" w:cs="黑体"/>
                <w:b/>
                <w:color w:val="000000"/>
                <w:sz w:val="32"/>
              </w:rPr>
              <w:t>部门预算项目支出绩效自评表（2023年度）</w:t>
            </w:r>
          </w:p>
        </w:tc>
      </w:tr>
      <w:tr>
        <w:tblPrEx>
          <w:tblCellMar>
            <w:top w:w="0" w:type="dxa"/>
            <w:left w:w="0" w:type="dxa"/>
            <w:bottom w:w="0" w:type="dxa"/>
            <w:right w:w="0" w:type="dxa"/>
          </w:tblCellMar>
        </w:tblPrEx>
        <w:trPr>
          <w:trHeight w:val="424" w:hRule="atLeast"/>
        </w:trPr>
        <w:tc>
          <w:tcPr>
            <w:tcW w:w="9561" w:type="dxa"/>
            <w:gridSpan w:val="7"/>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单位(盖章)：中共绵阳市委政法委员会</w:t>
            </w:r>
          </w:p>
        </w:tc>
        <w:tc>
          <w:tcPr>
            <w:tcW w:w="2154" w:type="dxa"/>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填报日期：</w:t>
            </w:r>
          </w:p>
        </w:tc>
        <w:tc>
          <w:tcPr>
            <w:tcW w:w="4195" w:type="dxa"/>
            <w:gridSpan w:val="3"/>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2024年6月3日</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项目名称</w:t>
            </w:r>
          </w:p>
        </w:tc>
        <w:tc>
          <w:tcPr>
            <w:tcW w:w="12698" w:type="dxa"/>
            <w:gridSpan w:val="9"/>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见义勇为奖励专项资金、见义勇为困难群众慰问费</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主管部门及代码</w:t>
            </w:r>
          </w:p>
        </w:tc>
        <w:tc>
          <w:tcPr>
            <w:tcW w:w="6349"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302-中共绵阳市委政法委员会本级部门</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实施单位</w:t>
            </w:r>
          </w:p>
        </w:tc>
        <w:tc>
          <w:tcPr>
            <w:tcW w:w="4195"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中共绵阳市委政法委员会</w:t>
            </w:r>
          </w:p>
        </w:tc>
      </w:tr>
      <w:tr>
        <w:tblPrEx>
          <w:tblCellMar>
            <w:top w:w="0" w:type="dxa"/>
            <w:left w:w="0" w:type="dxa"/>
            <w:bottom w:w="0" w:type="dxa"/>
            <w:right w:w="0" w:type="dxa"/>
          </w:tblCellMar>
        </w:tblPrEx>
        <w:trPr>
          <w:trHeight w:val="453"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项目资金使用情况（10分）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资金来源</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全年预算数</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调整后预算数</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全年执行数</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自评得分</w:t>
            </w:r>
          </w:p>
        </w:tc>
        <w:tc>
          <w:tcPr>
            <w:tcW w:w="3515"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年度资金总额（万元）</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49.70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49.70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3515" w:type="dxa"/>
            <w:gridSpan w:val="2"/>
            <w:vMerge w:val="restart"/>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预算执行率较低原因：； 预算调整(调增/调减)原因：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其中：中央、省补助</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市级财政资金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49.70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49.70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县级财政资金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其他资金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年度总体目标</w:t>
            </w:r>
          </w:p>
        </w:tc>
        <w:tc>
          <w:tcPr>
            <w:tcW w:w="8617"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预期目标</w:t>
            </w:r>
          </w:p>
        </w:tc>
        <w:tc>
          <w:tcPr>
            <w:tcW w:w="6349" w:type="dxa"/>
            <w:gridSpan w:val="4"/>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实际完成情况</w:t>
            </w:r>
          </w:p>
        </w:tc>
      </w:tr>
      <w:tr>
        <w:tblPrEx>
          <w:tblCellMar>
            <w:top w:w="0" w:type="dxa"/>
            <w:left w:w="0" w:type="dxa"/>
            <w:bottom w:w="0" w:type="dxa"/>
            <w:right w:w="0" w:type="dxa"/>
          </w:tblCellMar>
        </w:tblPrEx>
        <w:trPr>
          <w:trHeight w:val="680"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8617" w:type="dxa"/>
            <w:gridSpan w:val="6"/>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见义勇为奖励专项资金、见义勇为困难群众慰问费</w:t>
            </w:r>
          </w:p>
        </w:tc>
        <w:tc>
          <w:tcPr>
            <w:tcW w:w="6349" w:type="dxa"/>
            <w:gridSpan w:val="4"/>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见义勇为奖励专项资金、见义勇为困难群众慰问费</w:t>
            </w: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决策与过程指标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（100分）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分值</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计算过程及得分依据</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（54分）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项目立项</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依据充分性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程序规范性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目标设置</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绩效目标完整性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绩效指标细化量化</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资金预算</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预算编制匹配</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资金分配合理性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过程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（46分）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项目管理制度健全性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项目质量可控性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资金使用合规性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财务监督检查</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451"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指标性质</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度量单位</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权重</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未完成原因分析</w:t>
            </w:r>
          </w:p>
        </w:tc>
      </w:tr>
      <w:tr>
        <w:tblPrEx>
          <w:tblCellMar>
            <w:top w:w="0" w:type="dxa"/>
            <w:left w:w="0" w:type="dxa"/>
            <w:bottom w:w="0" w:type="dxa"/>
            <w:right w:w="0" w:type="dxa"/>
          </w:tblCellMar>
        </w:tblPrEx>
        <w:trPr>
          <w:trHeight w:val="424"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绩效指标（90分）</w:t>
            </w: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产出指标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数量指标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奖励见义勇为勇士、慰问见义勇为困难群众</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49.7</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万元</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49.7</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时效指标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12月31日</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效益指标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社会效益指标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奖励见义勇为勇士、慰问见义勇为困难群众</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服务对象满意度指标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奖励见义勇为勇士、慰问见义勇为困难群众</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自评折算后总分(分值折算方式：“决策与过程指标”赋值100分按30%折算，“预算执行率和绩效指标”赋值100分按70%折算)：</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评价结论</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根据该项目决策及过程管理、预算执行率及绩效目标实现程度指标自评得分100.00分，自评等次为：优。见义勇为奖励专项资金、见义勇为困难群众慰问费</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存在问题</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改进措施</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425" w:hRule="atLeast"/>
        </w:trPr>
        <w:tc>
          <w:tcPr>
            <w:tcW w:w="7747"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项目负责人：陈全</w:t>
            </w:r>
          </w:p>
        </w:tc>
        <w:tc>
          <w:tcPr>
            <w:tcW w:w="8163"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财务负责人：文灏源</w:t>
            </w:r>
          </w:p>
        </w:tc>
      </w:tr>
      <w:tr>
        <w:tblPrEx>
          <w:tblCellMar>
            <w:top w:w="0" w:type="dxa"/>
            <w:left w:w="0" w:type="dxa"/>
            <w:bottom w:w="0" w:type="dxa"/>
            <w:right w:w="0" w:type="dxa"/>
          </w:tblCellMar>
        </w:tblPrEx>
        <w:trPr>
          <w:trHeight w:val="425" w:hRule="atLeast"/>
        </w:trPr>
        <w:tc>
          <w:tcPr>
            <w:tcW w:w="944" w:type="dxa"/>
            <w:vAlign w:val="top"/>
          </w:tcPr>
          <w:p>
            <w:pPr>
              <w:spacing w:before="40" w:after="40"/>
              <w:ind w:left="40" w:right="40"/>
              <w:jc w:val="left"/>
              <w:rPr>
                <w:rFonts w:hint="eastAsia" w:ascii="Arial" w:hAnsi="Arial" w:eastAsia="Arial" w:cs="Arial"/>
                <w:color w:val="000000"/>
                <w:sz w:val="18"/>
              </w:rPr>
            </w:pPr>
          </w:p>
        </w:tc>
        <w:tc>
          <w:tcPr>
            <w:tcW w:w="2268" w:type="dxa"/>
            <w:vAlign w:val="top"/>
          </w:tcPr>
          <w:p>
            <w:pPr>
              <w:spacing w:before="40" w:after="40"/>
              <w:ind w:left="40" w:right="40"/>
              <w:jc w:val="left"/>
              <w:rPr>
                <w:rFonts w:hint="eastAsia" w:ascii="Arial" w:hAnsi="Arial" w:eastAsia="Arial" w:cs="Arial"/>
                <w:color w:val="000000"/>
                <w:sz w:val="18"/>
              </w:rPr>
            </w:pPr>
          </w:p>
        </w:tc>
        <w:tc>
          <w:tcPr>
            <w:tcW w:w="1587" w:type="dxa"/>
            <w:vAlign w:val="top"/>
          </w:tcPr>
          <w:p>
            <w:pPr>
              <w:spacing w:before="40" w:after="40"/>
              <w:ind w:left="40" w:right="40"/>
              <w:jc w:val="left"/>
              <w:rPr>
                <w:rFonts w:hint="eastAsia" w:ascii="Arial" w:hAnsi="Arial" w:eastAsia="Arial" w:cs="Arial"/>
                <w:color w:val="000000"/>
                <w:sz w:val="18"/>
              </w:rPr>
            </w:pPr>
          </w:p>
        </w:tc>
        <w:tc>
          <w:tcPr>
            <w:tcW w:w="2381"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1247"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2154" w:type="dxa"/>
            <w:vAlign w:val="top"/>
          </w:tcPr>
          <w:p>
            <w:pPr>
              <w:spacing w:before="40" w:after="40"/>
              <w:ind w:left="40" w:right="40"/>
              <w:jc w:val="left"/>
              <w:rPr>
                <w:rFonts w:hint="eastAsia" w:ascii="Arial" w:hAnsi="Arial" w:eastAsia="Arial" w:cs="Arial"/>
                <w:color w:val="000000"/>
                <w:sz w:val="18"/>
              </w:rPr>
            </w:pPr>
          </w:p>
        </w:tc>
        <w:tc>
          <w:tcPr>
            <w:tcW w:w="680" w:type="dxa"/>
            <w:vAlign w:val="top"/>
          </w:tcPr>
          <w:p>
            <w:pPr>
              <w:spacing w:before="40" w:after="40"/>
              <w:ind w:left="40" w:right="40"/>
              <w:jc w:val="left"/>
              <w:rPr>
                <w:rFonts w:hint="eastAsia" w:ascii="Arial" w:hAnsi="Arial" w:eastAsia="Arial" w:cs="Arial"/>
                <w:color w:val="000000"/>
                <w:sz w:val="18"/>
              </w:rPr>
            </w:pPr>
          </w:p>
        </w:tc>
        <w:tc>
          <w:tcPr>
            <w:tcW w:w="907" w:type="dxa"/>
            <w:vAlign w:val="top"/>
          </w:tcPr>
          <w:p>
            <w:pPr>
              <w:spacing w:before="40" w:after="40"/>
              <w:ind w:left="40" w:right="40"/>
              <w:jc w:val="left"/>
              <w:rPr>
                <w:rFonts w:hint="eastAsia" w:ascii="Arial" w:hAnsi="Arial" w:eastAsia="Arial" w:cs="Arial"/>
                <w:color w:val="000000"/>
                <w:sz w:val="18"/>
              </w:rPr>
            </w:pPr>
          </w:p>
        </w:tc>
        <w:tc>
          <w:tcPr>
            <w:tcW w:w="2608" w:type="dxa"/>
            <w:vAlign w:val="top"/>
          </w:tcPr>
          <w:p>
            <w:pPr>
              <w:spacing w:before="40" w:after="40"/>
              <w:ind w:left="40" w:right="40"/>
              <w:jc w:val="left"/>
              <w:rPr>
                <w:rFonts w:hint="eastAsia" w:ascii="Arial" w:hAnsi="Arial" w:eastAsia="Arial" w:cs="Arial"/>
                <w:color w:val="000000"/>
                <w:sz w:val="18"/>
              </w:rPr>
            </w:pPr>
          </w:p>
        </w:tc>
      </w:tr>
      <w:tr>
        <w:tblPrEx>
          <w:tblCellMar>
            <w:top w:w="0" w:type="dxa"/>
            <w:left w:w="0" w:type="dxa"/>
            <w:bottom w:w="0" w:type="dxa"/>
            <w:right w:w="0" w:type="dxa"/>
          </w:tblCellMar>
        </w:tblPrEx>
        <w:trPr>
          <w:trHeight w:val="907" w:hRule="atLeast"/>
        </w:trPr>
        <w:tc>
          <w:tcPr>
            <w:tcW w:w="15910" w:type="dxa"/>
            <w:gridSpan w:val="11"/>
            <w:vAlign w:val="center"/>
          </w:tcPr>
          <w:p>
            <w:pPr>
              <w:spacing w:before="40" w:after="40"/>
              <w:ind w:left="40" w:right="40"/>
              <w:jc w:val="center"/>
              <w:rPr>
                <w:rFonts w:hint="eastAsia" w:ascii="黑体" w:hAnsi="黑体" w:eastAsia="黑体" w:cs="黑体"/>
                <w:b/>
                <w:color w:val="000000"/>
                <w:sz w:val="32"/>
              </w:rPr>
            </w:pPr>
            <w:r>
              <w:rPr>
                <w:rFonts w:hint="eastAsia" w:ascii="黑体" w:hAnsi="黑体" w:eastAsia="黑体" w:cs="黑体"/>
                <w:b/>
                <w:color w:val="000000"/>
                <w:sz w:val="32"/>
              </w:rPr>
              <w:t>部门预算项目支出绩效自评表（2023年度）</w:t>
            </w:r>
          </w:p>
        </w:tc>
      </w:tr>
      <w:tr>
        <w:tblPrEx>
          <w:tblCellMar>
            <w:top w:w="0" w:type="dxa"/>
            <w:left w:w="0" w:type="dxa"/>
            <w:bottom w:w="0" w:type="dxa"/>
            <w:right w:w="0" w:type="dxa"/>
          </w:tblCellMar>
        </w:tblPrEx>
        <w:trPr>
          <w:trHeight w:val="424" w:hRule="atLeast"/>
        </w:trPr>
        <w:tc>
          <w:tcPr>
            <w:tcW w:w="9561" w:type="dxa"/>
            <w:gridSpan w:val="7"/>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单位(盖章)：中共绵阳市委政法委员会</w:t>
            </w:r>
          </w:p>
        </w:tc>
        <w:tc>
          <w:tcPr>
            <w:tcW w:w="2154" w:type="dxa"/>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填报日期：</w:t>
            </w:r>
          </w:p>
        </w:tc>
        <w:tc>
          <w:tcPr>
            <w:tcW w:w="4195" w:type="dxa"/>
            <w:gridSpan w:val="3"/>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2024年5月30日</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项目名称</w:t>
            </w:r>
          </w:p>
        </w:tc>
        <w:tc>
          <w:tcPr>
            <w:tcW w:w="12698" w:type="dxa"/>
            <w:gridSpan w:val="9"/>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重大传染病防控补助资金</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主管部门及代码</w:t>
            </w:r>
          </w:p>
        </w:tc>
        <w:tc>
          <w:tcPr>
            <w:tcW w:w="6349"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302-中共绵阳市委政法委员会本级部门</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实施单位</w:t>
            </w:r>
          </w:p>
        </w:tc>
        <w:tc>
          <w:tcPr>
            <w:tcW w:w="4195"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中共绵阳市委政法委员会</w:t>
            </w:r>
          </w:p>
        </w:tc>
      </w:tr>
      <w:tr>
        <w:tblPrEx>
          <w:tblCellMar>
            <w:top w:w="0" w:type="dxa"/>
            <w:left w:w="0" w:type="dxa"/>
            <w:bottom w:w="0" w:type="dxa"/>
            <w:right w:w="0" w:type="dxa"/>
          </w:tblCellMar>
        </w:tblPrEx>
        <w:trPr>
          <w:trHeight w:val="453"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项目资金使用情况（10分）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资金来源</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全年预算数</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调整后预算数</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全年执行数</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自评得分</w:t>
            </w:r>
          </w:p>
        </w:tc>
        <w:tc>
          <w:tcPr>
            <w:tcW w:w="3515"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年度资金总额（万元）</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3515" w:type="dxa"/>
            <w:gridSpan w:val="2"/>
            <w:vMerge w:val="restart"/>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预算执行率较低原因：； 预算调整(调增/调减)原因：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其中：中央、省补助</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市级财政资金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县级财政资金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其他资金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年度总体目标</w:t>
            </w:r>
          </w:p>
        </w:tc>
        <w:tc>
          <w:tcPr>
            <w:tcW w:w="8617"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预期目标</w:t>
            </w:r>
          </w:p>
        </w:tc>
        <w:tc>
          <w:tcPr>
            <w:tcW w:w="6349" w:type="dxa"/>
            <w:gridSpan w:val="4"/>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实际完成情况</w:t>
            </w:r>
          </w:p>
        </w:tc>
      </w:tr>
      <w:tr>
        <w:tblPrEx>
          <w:tblCellMar>
            <w:top w:w="0" w:type="dxa"/>
            <w:left w:w="0" w:type="dxa"/>
            <w:bottom w:w="0" w:type="dxa"/>
            <w:right w:w="0" w:type="dxa"/>
          </w:tblCellMar>
        </w:tblPrEx>
        <w:trPr>
          <w:trHeight w:val="680"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8617" w:type="dxa"/>
            <w:gridSpan w:val="6"/>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重大传染病防控补助资金</w:t>
            </w:r>
          </w:p>
        </w:tc>
        <w:tc>
          <w:tcPr>
            <w:tcW w:w="6349" w:type="dxa"/>
            <w:gridSpan w:val="4"/>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完成重大传染病防控</w:t>
            </w: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决策与过程指标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（100分）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分值</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计算过程及得分依据</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（54分）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项目立项</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依据充分性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程序规范性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目标设置</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绩效目标完整性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绩效指标细化量化</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资金预算</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预算编制匹配</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资金分配合理性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r>
      <w:tr>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过程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（46分）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项目管理制度健全性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项目质量可控性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资金使用合规性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财务监督检查</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451"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指标性质</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度量单位</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权重</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未完成原因分析</w:t>
            </w:r>
          </w:p>
        </w:tc>
      </w:tr>
      <w:tr>
        <w:tblPrEx>
          <w:tblCellMar>
            <w:top w:w="0" w:type="dxa"/>
            <w:left w:w="0" w:type="dxa"/>
            <w:bottom w:w="0" w:type="dxa"/>
            <w:right w:w="0" w:type="dxa"/>
          </w:tblCellMar>
        </w:tblPrEx>
        <w:trPr>
          <w:trHeight w:val="424"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绩效指标（90分）</w:t>
            </w: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产出指标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数量指标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重大传染病防控补助资金10000元</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10000</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元</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10000</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时效指标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12月31日</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效益指标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社会效益指标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做好重大传染病防控</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服务对象满意度指标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做好重大传染病防控</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自评折算后总分(分值折算方式：“决策与过程指标”赋值100分按30%折算，“预算执行率和绩效指标”赋值100分按70%折算)：</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评价结论</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根据该项目决策及过程管理、预算执行率及绩效目标实现程度指标自评得分100.00分，自评等次为：优。做好重大疾病防控工作</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存在问题</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改进措施</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425" w:hRule="atLeast"/>
        </w:trPr>
        <w:tc>
          <w:tcPr>
            <w:tcW w:w="7747"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项目负责人：赵显福</w:t>
            </w:r>
          </w:p>
        </w:tc>
        <w:tc>
          <w:tcPr>
            <w:tcW w:w="8163"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财务负责人：文颢源</w:t>
            </w:r>
          </w:p>
        </w:tc>
      </w:tr>
      <w:tr>
        <w:tblPrEx>
          <w:tblCellMar>
            <w:top w:w="0" w:type="dxa"/>
            <w:left w:w="0" w:type="dxa"/>
            <w:bottom w:w="0" w:type="dxa"/>
            <w:right w:w="0" w:type="dxa"/>
          </w:tblCellMar>
        </w:tblPrEx>
        <w:trPr>
          <w:trHeight w:val="425" w:hRule="atLeast"/>
        </w:trPr>
        <w:tc>
          <w:tcPr>
            <w:tcW w:w="944" w:type="dxa"/>
            <w:vAlign w:val="top"/>
          </w:tcPr>
          <w:p>
            <w:pPr>
              <w:spacing w:before="40" w:after="40"/>
              <w:ind w:left="40" w:right="40"/>
              <w:jc w:val="left"/>
              <w:rPr>
                <w:rFonts w:hint="eastAsia" w:ascii="Arial" w:hAnsi="Arial" w:eastAsia="Arial" w:cs="Arial"/>
                <w:color w:val="000000"/>
                <w:sz w:val="18"/>
              </w:rPr>
            </w:pPr>
          </w:p>
        </w:tc>
        <w:tc>
          <w:tcPr>
            <w:tcW w:w="2268" w:type="dxa"/>
            <w:vAlign w:val="top"/>
          </w:tcPr>
          <w:p>
            <w:pPr>
              <w:spacing w:before="40" w:after="40"/>
              <w:ind w:left="40" w:right="40"/>
              <w:jc w:val="left"/>
              <w:rPr>
                <w:rFonts w:hint="eastAsia" w:ascii="Arial" w:hAnsi="Arial" w:eastAsia="Arial" w:cs="Arial"/>
                <w:color w:val="000000"/>
                <w:sz w:val="18"/>
              </w:rPr>
            </w:pPr>
          </w:p>
        </w:tc>
        <w:tc>
          <w:tcPr>
            <w:tcW w:w="1587" w:type="dxa"/>
            <w:vAlign w:val="top"/>
          </w:tcPr>
          <w:p>
            <w:pPr>
              <w:spacing w:before="40" w:after="40"/>
              <w:ind w:left="40" w:right="40"/>
              <w:jc w:val="left"/>
              <w:rPr>
                <w:rFonts w:hint="eastAsia" w:ascii="Arial" w:hAnsi="Arial" w:eastAsia="Arial" w:cs="Arial"/>
                <w:color w:val="000000"/>
                <w:sz w:val="18"/>
              </w:rPr>
            </w:pPr>
          </w:p>
        </w:tc>
        <w:tc>
          <w:tcPr>
            <w:tcW w:w="2381"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1247"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2154" w:type="dxa"/>
            <w:vAlign w:val="top"/>
          </w:tcPr>
          <w:p>
            <w:pPr>
              <w:spacing w:before="40" w:after="40"/>
              <w:ind w:left="40" w:right="40"/>
              <w:jc w:val="left"/>
              <w:rPr>
                <w:rFonts w:hint="eastAsia" w:ascii="Arial" w:hAnsi="Arial" w:eastAsia="Arial" w:cs="Arial"/>
                <w:color w:val="000000"/>
                <w:sz w:val="18"/>
              </w:rPr>
            </w:pPr>
          </w:p>
        </w:tc>
        <w:tc>
          <w:tcPr>
            <w:tcW w:w="680" w:type="dxa"/>
            <w:vAlign w:val="top"/>
          </w:tcPr>
          <w:p>
            <w:pPr>
              <w:spacing w:before="40" w:after="40"/>
              <w:ind w:left="40" w:right="40"/>
              <w:jc w:val="left"/>
              <w:rPr>
                <w:rFonts w:hint="eastAsia" w:ascii="Arial" w:hAnsi="Arial" w:eastAsia="Arial" w:cs="Arial"/>
                <w:color w:val="000000"/>
                <w:sz w:val="18"/>
              </w:rPr>
            </w:pPr>
          </w:p>
        </w:tc>
        <w:tc>
          <w:tcPr>
            <w:tcW w:w="907" w:type="dxa"/>
            <w:vAlign w:val="top"/>
          </w:tcPr>
          <w:p>
            <w:pPr>
              <w:spacing w:before="40" w:after="40"/>
              <w:ind w:left="40" w:right="40"/>
              <w:jc w:val="left"/>
              <w:rPr>
                <w:rFonts w:hint="eastAsia" w:ascii="Arial" w:hAnsi="Arial" w:eastAsia="Arial" w:cs="Arial"/>
                <w:color w:val="000000"/>
                <w:sz w:val="18"/>
              </w:rPr>
            </w:pPr>
          </w:p>
        </w:tc>
        <w:tc>
          <w:tcPr>
            <w:tcW w:w="2608" w:type="dxa"/>
            <w:vAlign w:val="top"/>
          </w:tcPr>
          <w:p>
            <w:pPr>
              <w:spacing w:before="40" w:after="40"/>
              <w:ind w:left="40" w:right="40"/>
              <w:jc w:val="left"/>
              <w:rPr>
                <w:rFonts w:hint="eastAsia" w:ascii="Arial" w:hAnsi="Arial" w:eastAsia="Arial" w:cs="Arial"/>
                <w:color w:val="000000"/>
                <w:sz w:val="18"/>
              </w:rPr>
            </w:pPr>
          </w:p>
        </w:tc>
      </w:tr>
      <w:tr>
        <w:tblPrEx>
          <w:tblCellMar>
            <w:top w:w="0" w:type="dxa"/>
            <w:left w:w="0" w:type="dxa"/>
            <w:bottom w:w="0" w:type="dxa"/>
            <w:right w:w="0" w:type="dxa"/>
          </w:tblCellMar>
        </w:tblPrEx>
        <w:trPr>
          <w:trHeight w:val="907" w:hRule="atLeast"/>
        </w:trPr>
        <w:tc>
          <w:tcPr>
            <w:tcW w:w="15910" w:type="dxa"/>
            <w:gridSpan w:val="11"/>
            <w:vAlign w:val="center"/>
          </w:tcPr>
          <w:p>
            <w:pPr>
              <w:spacing w:before="40" w:after="40"/>
              <w:ind w:left="40" w:right="40"/>
              <w:jc w:val="center"/>
              <w:rPr>
                <w:rFonts w:hint="eastAsia" w:ascii="黑体" w:hAnsi="黑体" w:eastAsia="黑体" w:cs="黑体"/>
                <w:b/>
                <w:color w:val="000000"/>
                <w:sz w:val="32"/>
              </w:rPr>
            </w:pPr>
            <w:r>
              <w:rPr>
                <w:rFonts w:hint="eastAsia" w:ascii="黑体" w:hAnsi="黑体" w:eastAsia="黑体" w:cs="黑体"/>
                <w:b/>
                <w:color w:val="000000"/>
                <w:sz w:val="32"/>
              </w:rPr>
              <w:t>部门预算项目支出绩效自评表（2023年度）</w:t>
            </w:r>
          </w:p>
        </w:tc>
      </w:tr>
      <w:tr>
        <w:tblPrEx>
          <w:tblCellMar>
            <w:top w:w="0" w:type="dxa"/>
            <w:left w:w="0" w:type="dxa"/>
            <w:bottom w:w="0" w:type="dxa"/>
            <w:right w:w="0" w:type="dxa"/>
          </w:tblCellMar>
        </w:tblPrEx>
        <w:trPr>
          <w:trHeight w:val="424" w:hRule="atLeast"/>
        </w:trPr>
        <w:tc>
          <w:tcPr>
            <w:tcW w:w="9561" w:type="dxa"/>
            <w:gridSpan w:val="7"/>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单位(盖章)：中共绵阳市委政法委员会</w:t>
            </w:r>
          </w:p>
        </w:tc>
        <w:tc>
          <w:tcPr>
            <w:tcW w:w="2154" w:type="dxa"/>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填报日期：</w:t>
            </w:r>
          </w:p>
        </w:tc>
        <w:tc>
          <w:tcPr>
            <w:tcW w:w="4195" w:type="dxa"/>
            <w:gridSpan w:val="3"/>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2024年5月31日</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项目名称</w:t>
            </w:r>
          </w:p>
        </w:tc>
        <w:tc>
          <w:tcPr>
            <w:tcW w:w="12698" w:type="dxa"/>
            <w:gridSpan w:val="9"/>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重点突出政法问题研究专项经费</w:t>
            </w:r>
          </w:p>
        </w:tc>
      </w:tr>
      <w:tr>
        <w:tblPrEx>
          <w:tblCellMar>
            <w:top w:w="0" w:type="dxa"/>
            <w:left w:w="0" w:type="dxa"/>
            <w:bottom w:w="0" w:type="dxa"/>
            <w:right w:w="0" w:type="dxa"/>
          </w:tblCellMar>
        </w:tblPrEx>
        <w:trPr>
          <w:trHeight w:val="424"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主管部门及代码</w:t>
            </w:r>
          </w:p>
        </w:tc>
        <w:tc>
          <w:tcPr>
            <w:tcW w:w="6349"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302-中共绵阳市委政法委员会本级部门</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实施单位</w:t>
            </w:r>
          </w:p>
        </w:tc>
        <w:tc>
          <w:tcPr>
            <w:tcW w:w="4195"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中共绵阳市委政法委员会</w:t>
            </w:r>
          </w:p>
        </w:tc>
      </w:tr>
      <w:tr>
        <w:tblPrEx>
          <w:tblCellMar>
            <w:top w:w="0" w:type="dxa"/>
            <w:left w:w="0" w:type="dxa"/>
            <w:bottom w:w="0" w:type="dxa"/>
            <w:right w:w="0" w:type="dxa"/>
          </w:tblCellMar>
        </w:tblPrEx>
        <w:trPr>
          <w:trHeight w:val="453"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项目资金使用情况（10分）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资金来源</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全年预算数</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调整后预算数</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全年执行数</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自评得分</w:t>
            </w:r>
          </w:p>
        </w:tc>
        <w:tc>
          <w:tcPr>
            <w:tcW w:w="3515"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原因</w:t>
            </w:r>
          </w:p>
        </w:tc>
      </w:tr>
      <w:tr>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年度资金总额（万元）</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3515" w:type="dxa"/>
            <w:gridSpan w:val="2"/>
            <w:vMerge w:val="restart"/>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预算执行率较低原因：； 预算调整(调增/调减)原因：</w:t>
            </w: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其中：中央、省补助</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市级财政资金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2.00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县级财政资金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53"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其他资金</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381" w:type="dxa"/>
            <w:gridSpan w:val="3"/>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0.00</w:t>
            </w:r>
          </w:p>
        </w:tc>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3515" w:type="dxa"/>
            <w:gridSpan w:val="2"/>
            <w:vMerge w:val="continue"/>
            <w:tcBorders>
              <w:top w:val="single" w:color="000000" w:sz="8" w:space="0"/>
              <w:left w:val="single" w:color="000000" w:sz="8" w:space="0"/>
              <w:bottom w:val="single" w:color="000000" w:sz="8" w:space="0"/>
              <w:right w:val="single" w:color="000000" w:sz="8" w:space="0"/>
            </w:tcBorders>
            <w:vAlign w:val="top"/>
          </w:tcPr>
          <w:p>
            <w:pPr>
              <w:spacing w:after="0" w:line="1" w:lineRule="exact"/>
            </w:pP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年度总体目标</w:t>
            </w:r>
          </w:p>
        </w:tc>
        <w:tc>
          <w:tcPr>
            <w:tcW w:w="8617"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预期目标</w:t>
            </w:r>
          </w:p>
        </w:tc>
        <w:tc>
          <w:tcPr>
            <w:tcW w:w="6349" w:type="dxa"/>
            <w:gridSpan w:val="4"/>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实际完成情况</w:t>
            </w:r>
          </w:p>
        </w:tc>
      </w:tr>
      <w:tr>
        <w:tblPrEx>
          <w:tblCellMar>
            <w:top w:w="0" w:type="dxa"/>
            <w:left w:w="0" w:type="dxa"/>
            <w:bottom w:w="0" w:type="dxa"/>
            <w:right w:w="0" w:type="dxa"/>
          </w:tblCellMar>
        </w:tblPrEx>
        <w:trPr>
          <w:trHeight w:val="680"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8617" w:type="dxa"/>
            <w:gridSpan w:val="6"/>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专项的实施，将有力推进政法重点突出问题的研究解决，尤其是有利于及时组织人力、物力、财力，协调研究解决政法口机构改革和司法体制改革后，市县两级政法机关在执法、司法、服务、保障过程中面临的新情况、新问题，及时回应广大人民群众</w:t>
            </w:r>
          </w:p>
        </w:tc>
        <w:tc>
          <w:tcPr>
            <w:tcW w:w="6349" w:type="dxa"/>
            <w:gridSpan w:val="4"/>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该专项的实施，将有力推进政法重点突出问题的研究解决，尤其是有利于及时组织人力、物力、财力，协调研究解决政法口机构改革和司法体制改革后，市县两级政法机关在执法、司法、服务、保障过程中面临的新情况、新问题，及时回应广大人民群众</w:t>
            </w:r>
          </w:p>
        </w:tc>
      </w:tr>
      <w:tr>
        <w:tblPrEx>
          <w:tblCellMar>
            <w:top w:w="0" w:type="dxa"/>
            <w:left w:w="0" w:type="dxa"/>
            <w:bottom w:w="0" w:type="dxa"/>
            <w:right w:w="0" w:type="dxa"/>
          </w:tblCellMar>
        </w:tblPrEx>
        <w:trPr>
          <w:trHeight w:val="425"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决策与过程指标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（100分）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分值</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计算过程及得分依据</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决策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（54分）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项目立项</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依据充分性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充分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程序规范性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6</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规范</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目标设置</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绩效目标完整性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完整</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绩效指标细化量化</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细化</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资金预算</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预算编制匹配</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匹配</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资金分配合理性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合理</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过程
</w:t>
            </w:r>
            <w:r>
              <w:rPr>
                <w:rFonts w:hint="eastAsia" w:ascii="微软雅黑" w:hAnsi="微软雅黑" w:eastAsia="微软雅黑" w:cs="微软雅黑"/>
                <w:color w:val="000000"/>
                <w:sz w:val="18"/>
              </w:rPr>
              <w:br w:type="textWrapping"/>
            </w:r>
            <w:r>
              <w:rPr>
                <w:rFonts w:hint="eastAsia" w:ascii="微软雅黑" w:hAnsi="微软雅黑" w:eastAsia="微软雅黑" w:cs="微软雅黑"/>
                <w:color w:val="000000"/>
                <w:sz w:val="18"/>
              </w:rPr>
              <w:t>（46分）</w:t>
            </w:r>
          </w:p>
        </w:tc>
        <w:tc>
          <w:tcPr>
            <w:tcW w:w="1587"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项目管理制度健全性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健全</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项目质量可控性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可控</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资金使用合规性</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12</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合规</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587"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财务监督检查</w:t>
            </w:r>
          </w:p>
        </w:tc>
        <w:tc>
          <w:tcPr>
            <w:tcW w:w="1814"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2721"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11</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无问题</w:t>
            </w:r>
          </w:p>
        </w:tc>
      </w:tr>
      <w:tr>
        <w:tblPrEx>
          <w:tblCellMar>
            <w:top w:w="0" w:type="dxa"/>
            <w:left w:w="0" w:type="dxa"/>
            <w:bottom w:w="0" w:type="dxa"/>
            <w:right w:w="0" w:type="dxa"/>
          </w:tblCellMar>
        </w:tblPrEx>
        <w:trPr>
          <w:trHeight w:val="425"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11451"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p>
        </w:tc>
      </w:tr>
      <w:tr>
        <w:trPr>
          <w:trHeight w:val="680" w:hRule="atLeast"/>
        </w:trPr>
        <w:tc>
          <w:tcPr>
            <w:tcW w:w="3212" w:type="dxa"/>
            <w:gridSpan w:val="2"/>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一级指标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二级指标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三级指标</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指标性质</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指标值</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度量单位</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完成值</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权重</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得分</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未完成原因分析</w:t>
            </w:r>
          </w:p>
        </w:tc>
      </w:tr>
      <w:tr>
        <w:tblPrEx>
          <w:tblCellMar>
            <w:top w:w="0" w:type="dxa"/>
            <w:left w:w="0" w:type="dxa"/>
            <w:bottom w:w="0" w:type="dxa"/>
            <w:right w:w="0" w:type="dxa"/>
          </w:tblCellMar>
        </w:tblPrEx>
        <w:trPr>
          <w:trHeight w:val="424" w:hRule="atLeast"/>
        </w:trPr>
        <w:tc>
          <w:tcPr>
            <w:tcW w:w="944" w:type="dxa"/>
            <w:vMerge w:val="restart"/>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绩效指标（90分）</w:t>
            </w: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产出指标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质量指标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有力推进政法重点突出问题的研究解决</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优</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40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40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效益指标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社会效益指标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协调研究解决政法口机构改革和司法体制改革后，市县两级政法机关在执法、司法、服务、保障过程中面临的新情况、新问题，及时回应广大人民群众</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优</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40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40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4" w:hRule="atLeast"/>
        </w:trPr>
        <w:tc>
          <w:tcPr>
            <w:tcW w:w="944"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1" w:lineRule="exact"/>
            </w:pPr>
          </w:p>
        </w:tc>
        <w:tc>
          <w:tcPr>
            <w:tcW w:w="226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158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满意度指标</w:t>
            </w:r>
          </w:p>
        </w:tc>
        <w:tc>
          <w:tcPr>
            <w:tcW w:w="2381"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保证工作顺利开展</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定性</w:t>
            </w:r>
          </w:p>
        </w:tc>
        <w:tc>
          <w:tcPr>
            <w:tcW w:w="124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优</w:t>
            </w:r>
          </w:p>
        </w:tc>
        <w:tc>
          <w:tcPr>
            <w:tcW w:w="56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center"/>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年</w:t>
            </w:r>
          </w:p>
        </w:tc>
        <w:tc>
          <w:tcPr>
            <w:tcW w:w="215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完成</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小计：</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90.00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425" w:hRule="atLeast"/>
        </w:trPr>
        <w:tc>
          <w:tcPr>
            <w:tcW w:w="11715" w:type="dxa"/>
            <w:gridSpan w:val="8"/>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自评折算后总分(分值折算方式：“决策与过程指标”赋值100分按30%折算，“预算执行率和绩效指标”赋值100分按70%折算)：</w:t>
            </w:r>
          </w:p>
        </w:tc>
        <w:tc>
          <w:tcPr>
            <w:tcW w:w="680"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w:t>
            </w:r>
          </w:p>
        </w:tc>
        <w:tc>
          <w:tcPr>
            <w:tcW w:w="907"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righ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100.00</w:t>
            </w:r>
          </w:p>
        </w:tc>
        <w:tc>
          <w:tcPr>
            <w:tcW w:w="2608"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评价结论</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根据该项目决策及过程管理、预算执行率及绩效目标实现程度指标自评得分100.00分，自评等次为：优。该专项的实施，将有力推进政法重点突出问题的研究解决，尤其是有利于及时组织人力、物力、财力，协调研究解决政法口机构改革和司法体制改革后，市县两级政法机关在执法、司法、服务、保障过程中面临的新情况、新问题，及时回应广大人民群众</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存在问题</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680" w:hRule="atLeast"/>
        </w:trPr>
        <w:tc>
          <w:tcPr>
            <w:tcW w:w="944" w:type="dxa"/>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改进措施</w:t>
            </w:r>
          </w:p>
        </w:tc>
        <w:tc>
          <w:tcPr>
            <w:tcW w:w="14966" w:type="dxa"/>
            <w:gridSpan w:val="10"/>
            <w:tcBorders>
              <w:top w:val="single" w:color="000000" w:sz="8" w:space="0"/>
              <w:left w:val="single" w:color="000000" w:sz="8" w:space="0"/>
              <w:bottom w:val="single" w:color="000000" w:sz="8" w:space="0"/>
              <w:right w:val="single" w:color="000000" w:sz="8" w:space="0"/>
            </w:tcBorders>
            <w:vAlign w:val="top"/>
          </w:tcPr>
          <w:p>
            <w:pPr>
              <w:spacing w:before="40" w:after="40"/>
              <w:ind w:left="40" w:right="40"/>
              <w:jc w:val="left"/>
              <w:rPr>
                <w:rFonts w:hint="eastAsia" w:ascii="微软雅黑" w:hAnsi="微软雅黑" w:eastAsia="微软雅黑" w:cs="微软雅黑"/>
                <w:color w:val="000000"/>
                <w:sz w:val="18"/>
              </w:rPr>
            </w:pPr>
            <w:r>
              <w:rPr>
                <w:rFonts w:hint="eastAsia" w:ascii="微软雅黑" w:hAnsi="微软雅黑" w:eastAsia="微软雅黑" w:cs="微软雅黑"/>
                <w:color w:val="000000"/>
                <w:sz w:val="18"/>
              </w:rPr>
              <w:t>无</w:t>
            </w:r>
          </w:p>
        </w:tc>
      </w:tr>
      <w:tr>
        <w:tblPrEx>
          <w:tblCellMar>
            <w:top w:w="0" w:type="dxa"/>
            <w:left w:w="0" w:type="dxa"/>
            <w:bottom w:w="0" w:type="dxa"/>
            <w:right w:w="0" w:type="dxa"/>
          </w:tblCellMar>
        </w:tblPrEx>
        <w:trPr>
          <w:trHeight w:val="425" w:hRule="atLeast"/>
        </w:trPr>
        <w:tc>
          <w:tcPr>
            <w:tcW w:w="7747" w:type="dxa"/>
            <w:gridSpan w:val="5"/>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项目负责人：赵显福</w:t>
            </w:r>
          </w:p>
        </w:tc>
        <w:tc>
          <w:tcPr>
            <w:tcW w:w="8163" w:type="dxa"/>
            <w:gridSpan w:val="6"/>
            <w:tcBorders>
              <w:top w:val="single" w:color="000000" w:sz="8" w:space="0"/>
              <w:left w:val="single" w:color="000000" w:sz="8" w:space="0"/>
              <w:bottom w:val="single" w:color="000000" w:sz="8" w:space="0"/>
              <w:right w:val="single" w:color="000000" w:sz="8" w:space="0"/>
            </w:tcBorders>
            <w:vAlign w:val="center"/>
          </w:tcPr>
          <w:p>
            <w:pPr>
              <w:spacing w:before="40" w:after="40"/>
              <w:ind w:left="40" w:right="40"/>
              <w:jc w:val="lef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财务负责人：文颢源</w:t>
            </w:r>
          </w:p>
        </w:tc>
      </w:tr>
      <w:tr>
        <w:tblPrEx>
          <w:tblCellMar>
            <w:top w:w="0" w:type="dxa"/>
            <w:left w:w="0" w:type="dxa"/>
            <w:bottom w:w="0" w:type="dxa"/>
            <w:right w:w="0" w:type="dxa"/>
          </w:tblCellMar>
        </w:tblPrEx>
        <w:trPr>
          <w:trHeight w:val="425" w:hRule="atLeast"/>
        </w:trPr>
        <w:tc>
          <w:tcPr>
            <w:tcW w:w="944" w:type="dxa"/>
            <w:vAlign w:val="top"/>
          </w:tcPr>
          <w:p>
            <w:pPr>
              <w:spacing w:before="40" w:after="40"/>
              <w:ind w:left="40" w:right="40"/>
              <w:jc w:val="left"/>
              <w:rPr>
                <w:rFonts w:hint="eastAsia" w:ascii="Arial" w:hAnsi="Arial" w:eastAsia="Arial" w:cs="Arial"/>
                <w:color w:val="000000"/>
                <w:sz w:val="18"/>
              </w:rPr>
            </w:pPr>
          </w:p>
        </w:tc>
        <w:tc>
          <w:tcPr>
            <w:tcW w:w="2268" w:type="dxa"/>
            <w:vAlign w:val="top"/>
          </w:tcPr>
          <w:p>
            <w:pPr>
              <w:spacing w:before="40" w:after="40"/>
              <w:ind w:left="40" w:right="40"/>
              <w:jc w:val="left"/>
              <w:rPr>
                <w:rFonts w:hint="eastAsia" w:ascii="Arial" w:hAnsi="Arial" w:eastAsia="Arial" w:cs="Arial"/>
                <w:color w:val="000000"/>
                <w:sz w:val="18"/>
              </w:rPr>
            </w:pPr>
          </w:p>
        </w:tc>
        <w:tc>
          <w:tcPr>
            <w:tcW w:w="1587" w:type="dxa"/>
            <w:vAlign w:val="top"/>
          </w:tcPr>
          <w:p>
            <w:pPr>
              <w:spacing w:before="40" w:after="40"/>
              <w:ind w:left="40" w:right="40"/>
              <w:jc w:val="left"/>
              <w:rPr>
                <w:rFonts w:hint="eastAsia" w:ascii="Arial" w:hAnsi="Arial" w:eastAsia="Arial" w:cs="Arial"/>
                <w:color w:val="000000"/>
                <w:sz w:val="18"/>
              </w:rPr>
            </w:pPr>
          </w:p>
        </w:tc>
        <w:tc>
          <w:tcPr>
            <w:tcW w:w="2381"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1247" w:type="dxa"/>
            <w:vAlign w:val="top"/>
          </w:tcPr>
          <w:p>
            <w:pPr>
              <w:spacing w:before="40" w:after="40"/>
              <w:ind w:left="40" w:right="40"/>
              <w:jc w:val="left"/>
              <w:rPr>
                <w:rFonts w:hint="eastAsia" w:ascii="Arial" w:hAnsi="Arial" w:eastAsia="Arial" w:cs="Arial"/>
                <w:color w:val="000000"/>
                <w:sz w:val="18"/>
              </w:rPr>
            </w:pPr>
          </w:p>
        </w:tc>
        <w:tc>
          <w:tcPr>
            <w:tcW w:w="567" w:type="dxa"/>
            <w:vAlign w:val="top"/>
          </w:tcPr>
          <w:p>
            <w:pPr>
              <w:spacing w:before="40" w:after="40"/>
              <w:ind w:left="40" w:right="40"/>
              <w:jc w:val="left"/>
              <w:rPr>
                <w:rFonts w:hint="eastAsia" w:ascii="Arial" w:hAnsi="Arial" w:eastAsia="Arial" w:cs="Arial"/>
                <w:color w:val="000000"/>
                <w:sz w:val="18"/>
              </w:rPr>
            </w:pPr>
          </w:p>
        </w:tc>
        <w:tc>
          <w:tcPr>
            <w:tcW w:w="2154" w:type="dxa"/>
            <w:vAlign w:val="top"/>
          </w:tcPr>
          <w:p>
            <w:pPr>
              <w:spacing w:before="40" w:after="40"/>
              <w:ind w:left="40" w:right="40"/>
              <w:jc w:val="left"/>
              <w:rPr>
                <w:rFonts w:hint="eastAsia" w:ascii="Arial" w:hAnsi="Arial" w:eastAsia="Arial" w:cs="Arial"/>
                <w:color w:val="000000"/>
                <w:sz w:val="18"/>
              </w:rPr>
            </w:pPr>
          </w:p>
        </w:tc>
        <w:tc>
          <w:tcPr>
            <w:tcW w:w="680" w:type="dxa"/>
            <w:vAlign w:val="top"/>
          </w:tcPr>
          <w:p>
            <w:pPr>
              <w:spacing w:before="40" w:after="40"/>
              <w:ind w:left="40" w:right="40"/>
              <w:jc w:val="left"/>
              <w:rPr>
                <w:rFonts w:hint="eastAsia" w:ascii="Arial" w:hAnsi="Arial" w:eastAsia="Arial" w:cs="Arial"/>
                <w:color w:val="000000"/>
                <w:sz w:val="18"/>
              </w:rPr>
            </w:pPr>
          </w:p>
        </w:tc>
        <w:tc>
          <w:tcPr>
            <w:tcW w:w="907" w:type="dxa"/>
            <w:vAlign w:val="top"/>
          </w:tcPr>
          <w:p>
            <w:pPr>
              <w:spacing w:before="40" w:after="40"/>
              <w:ind w:left="40" w:right="40"/>
              <w:jc w:val="left"/>
              <w:rPr>
                <w:rFonts w:hint="eastAsia" w:ascii="Arial" w:hAnsi="Arial" w:eastAsia="Arial" w:cs="Arial"/>
                <w:color w:val="000000"/>
                <w:sz w:val="18"/>
              </w:rPr>
            </w:pPr>
          </w:p>
        </w:tc>
        <w:tc>
          <w:tcPr>
            <w:tcW w:w="2608" w:type="dxa"/>
            <w:vAlign w:val="top"/>
          </w:tcPr>
          <w:p>
            <w:pPr>
              <w:spacing w:before="40" w:after="40"/>
              <w:ind w:left="40" w:right="40"/>
              <w:jc w:val="left"/>
              <w:rPr>
                <w:rFonts w:hint="eastAsia" w:ascii="Arial" w:hAnsi="Arial" w:eastAsia="Arial" w:cs="Arial"/>
                <w:color w:val="000000"/>
                <w:sz w:val="18"/>
              </w:rPr>
            </w:pPr>
          </w:p>
        </w:tc>
      </w:tr>
    </w:tbl>
    <w:p>
      <w:pPr>
        <w:spacing w:after="0" w:line="1" w:lineRule="exact"/>
      </w:pPr>
    </w:p>
    <w:sectPr>
      <w:pgSz w:w="11905" w:h="16837"/>
      <w:pgMar w:top="283" w:right="283" w:bottom="283" w:left="283"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ompat>
    <w:useFELayout/>
    <w:splitPgBreakAndParaMark/>
    <w:compatSetting w:name="compatibilityMode" w:uri="http://schemas.microsoft.com/office/word" w:val="12"/>
  </w:compat>
  <w:rsids>
    <w:rsidRoot w:val="00000000"/>
    <w:rsid w:val="75D555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HiddenStyleName"/>
    <w:uiPriority w:val="0"/>
    <w:pPr>
      <w:pBdr>
        <w:top w:val="none" w:color="000000" w:sz="0" w:space="0"/>
        <w:left w:val="none" w:color="000000" w:sz="0" w:space="0"/>
        <w:bottom w:val="none" w:color="000000" w:sz="0" w:space="0"/>
        <w:right w:val="none" w:color="000000" w:sz="0" w:space="0"/>
      </w:pBdr>
      <w:ind w:left="720"/>
      <w:jc w:val="both"/>
    </w:pPr>
    <w:rPr>
      <w:rFonts w:hint="eastAsia" w:ascii="Arial" w:hAnsi="Arial" w:eastAsia="Arial" w:cs="Arial"/>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Office_11.1.0.9440_F1E327BC-269C-435d-A152-05C5408002CA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2024-09-25T02:42:57Z</dcterms:created>
  <dc:creator>ASP.NET v4.0 Classic</dc:creator>
  <cp:lastModifiedBy>lenovo</cp:lastModifiedBy>
  <dcterms:modified xsi:type="dcterms:W3CDTF">2024-09-25T02:46:00Z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